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23C177">
      <w:pPr>
        <w:keepNext w:val="0"/>
        <w:keepLines w:val="0"/>
        <w:pageBreakBefore w:val="0"/>
        <w:widowControl w:val="0"/>
        <w:kinsoku/>
        <w:overflowPunct/>
        <w:topLinePunct w:val="0"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仿宋_GB2312" w:hAnsi="Courier New" w:eastAsia="仿宋_GB2312" w:cs="Courier New"/>
          <w:kern w:val="2"/>
          <w:sz w:val="32"/>
          <w:szCs w:val="32"/>
          <w:lang w:val="en-US" w:eastAsia="zh-CN" w:bidi="ar-SA"/>
        </w:rPr>
      </w:pPr>
    </w:p>
    <w:p w14:paraId="044C3D52">
      <w:pPr>
        <w:keepNext w:val="0"/>
        <w:keepLines w:val="0"/>
        <w:pageBreakBefore w:val="0"/>
        <w:widowControl w:val="0"/>
        <w:kinsoku/>
        <w:overflowPunct/>
        <w:topLinePunct w:val="0"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仿宋_GB2312" w:hAnsi="Courier New" w:eastAsia="仿宋_GB2312" w:cs="Courier New"/>
          <w:kern w:val="2"/>
          <w:sz w:val="32"/>
          <w:szCs w:val="32"/>
          <w:lang w:val="en-US" w:eastAsia="zh-CN" w:bidi="ar-SA"/>
        </w:rPr>
      </w:pPr>
    </w:p>
    <w:p w14:paraId="6BB025E0">
      <w:pPr>
        <w:keepNext w:val="0"/>
        <w:keepLines w:val="0"/>
        <w:pageBreakBefore w:val="0"/>
        <w:widowControl w:val="0"/>
        <w:kinsoku/>
        <w:overflowPunct/>
        <w:topLinePunct w:val="0"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仿宋_GB2312" w:hAnsi="Courier New" w:eastAsia="仿宋_GB2312" w:cs="Courier New"/>
          <w:kern w:val="2"/>
          <w:sz w:val="32"/>
          <w:szCs w:val="32"/>
          <w:lang w:val="en-US" w:eastAsia="zh-CN" w:bidi="ar-SA"/>
        </w:rPr>
      </w:pPr>
    </w:p>
    <w:p w14:paraId="37E61914">
      <w:pPr>
        <w:keepNext w:val="0"/>
        <w:keepLines w:val="0"/>
        <w:pageBreakBefore w:val="0"/>
        <w:widowControl w:val="0"/>
        <w:kinsoku/>
        <w:overflowPunct/>
        <w:topLinePunct w:val="0"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仿宋_GB2312" w:hAnsi="Courier New" w:eastAsia="仿宋_GB2312" w:cs="Courier New"/>
          <w:kern w:val="2"/>
          <w:sz w:val="32"/>
          <w:szCs w:val="32"/>
          <w:lang w:val="en-US" w:eastAsia="zh-CN" w:bidi="ar-SA"/>
        </w:rPr>
      </w:pPr>
    </w:p>
    <w:p w14:paraId="39395509">
      <w:pPr>
        <w:keepNext w:val="0"/>
        <w:keepLines w:val="0"/>
        <w:pageBreakBefore w:val="0"/>
        <w:widowControl w:val="0"/>
        <w:kinsoku/>
        <w:overflowPunct/>
        <w:topLinePunct w:val="0"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仿宋_GB2312" w:hAnsi="宋体" w:eastAsia="仿宋_GB2312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Courier New" w:eastAsia="仿宋_GB2312" w:cs="Courier New"/>
          <w:kern w:val="2"/>
          <w:sz w:val="32"/>
          <w:szCs w:val="32"/>
          <w:lang w:val="en-US" w:eastAsia="zh-CN" w:bidi="ar-SA"/>
        </w:rPr>
        <w:t>冠政发〔2024〕11号</w:t>
      </w:r>
    </w:p>
    <w:p w14:paraId="5EEEDC7D">
      <w:pPr>
        <w:keepNext w:val="0"/>
        <w:keepLines w:val="0"/>
        <w:pageBreakBefore w:val="0"/>
        <w:widowControl w:val="0"/>
        <w:overflowPunct/>
        <w:topLinePunct w:val="0"/>
        <w:bidi w:val="0"/>
        <w:jc w:val="center"/>
        <w:rPr>
          <w:rFonts w:hint="eastAsia" w:ascii="仿宋_GB2312" w:hAnsi="宋体" w:eastAsia="仿宋_GB2312" w:cs="宋体"/>
        </w:rPr>
      </w:pPr>
    </w:p>
    <w:p w14:paraId="47C606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32"/>
          <w:szCs w:val="32"/>
          <w:shd w:val="clear" w:fill="FFFFFF"/>
        </w:rPr>
      </w:pPr>
    </w:p>
    <w:p w14:paraId="392D17C2">
      <w:pPr>
        <w:pStyle w:val="2"/>
        <w:rPr>
          <w:rFonts w:hint="eastAsia" w:ascii="宋体" w:hAnsi="宋体" w:eastAsia="宋体" w:cs="宋体"/>
          <w:i w:val="0"/>
          <w:caps w:val="0"/>
          <w:color w:val="000000"/>
          <w:spacing w:val="0"/>
          <w:sz w:val="32"/>
          <w:szCs w:val="32"/>
          <w:shd w:val="clear" w:fill="FFFFFF"/>
        </w:rPr>
      </w:pPr>
    </w:p>
    <w:p w14:paraId="7EC39490">
      <w:pPr>
        <w:rPr>
          <w:rFonts w:hint="eastAsia" w:ascii="宋体" w:hAnsi="宋体" w:eastAsia="宋体" w:cs="宋体"/>
          <w:i w:val="0"/>
          <w:caps w:val="0"/>
          <w:color w:val="000000"/>
          <w:spacing w:val="0"/>
          <w:sz w:val="32"/>
          <w:szCs w:val="32"/>
          <w:shd w:val="clear" w:fill="FFFFFF"/>
        </w:rPr>
      </w:pPr>
    </w:p>
    <w:p w14:paraId="61BA0343">
      <w:pPr>
        <w:pStyle w:val="2"/>
        <w:rPr>
          <w:rFonts w:hint="eastAsia"/>
        </w:rPr>
      </w:pPr>
      <w:bookmarkStart w:id="0" w:name="_GoBack"/>
      <w:bookmarkEnd w:id="0"/>
    </w:p>
    <w:p w14:paraId="07673A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36"/>
        </w:rPr>
        <w:t>冠县人民政府</w:t>
      </w:r>
    </w:p>
    <w:p w14:paraId="3E9CF6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36"/>
        </w:rPr>
        <w:t>关于公布第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36"/>
          <w:lang w:eastAsia="zh-CN"/>
        </w:rPr>
        <w:t>六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36"/>
        </w:rPr>
        <w:t>批县级非物质文化遗产</w:t>
      </w:r>
    </w:p>
    <w:p w14:paraId="4B2E17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36"/>
        </w:rPr>
        <w:t>项目名录的通知</w:t>
      </w:r>
    </w:p>
    <w:p w14:paraId="1F1F55C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</w:p>
    <w:p w14:paraId="495FEF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各乡镇人民政府、街道办事处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县经济开发区管委会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县直有关部门：</w:t>
      </w:r>
    </w:p>
    <w:p w14:paraId="33A902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为切实做好全县非物质文化遗产保护工作，根据《中华人民共和国非物质文化遗产法》《国务院办公厅关于加强我国非物质文化遗产保护工作的意见》</w:t>
      </w:r>
      <w:r>
        <w:rPr>
          <w:rFonts w:ascii="仿宋_GB2312" w:hAnsi="仿宋_GB2312" w:eastAsia="仿宋_GB2312" w:cs="仿宋_GB2312"/>
          <w:sz w:val="32"/>
          <w:szCs w:val="32"/>
        </w:rPr>
        <w:t>(</w:t>
      </w:r>
      <w:r>
        <w:rPr>
          <w:rFonts w:hint="eastAsia" w:ascii="仿宋_GB2312" w:hAnsi="仿宋_GB2312" w:eastAsia="仿宋_GB2312" w:cs="仿宋_GB2312"/>
          <w:sz w:val="32"/>
          <w:szCs w:val="32"/>
        </w:rPr>
        <w:t>国办发〔</w:t>
      </w:r>
      <w:r>
        <w:rPr>
          <w:rFonts w:ascii="仿宋_GB2312" w:hAnsi="仿宋_GB2312" w:eastAsia="仿宋_GB2312" w:cs="仿宋_GB2312"/>
          <w:sz w:val="32"/>
          <w:szCs w:val="32"/>
        </w:rPr>
        <w:t>2005</w:t>
      </w:r>
      <w:r>
        <w:rPr>
          <w:rFonts w:hint="eastAsia" w:ascii="仿宋_GB2312" w:hAnsi="仿宋_GB2312" w:eastAsia="仿宋_GB2312" w:cs="仿宋_GB2312"/>
          <w:sz w:val="32"/>
          <w:szCs w:val="32"/>
        </w:rPr>
        <w:t>〕</w:t>
      </w:r>
      <w:r>
        <w:rPr>
          <w:rFonts w:ascii="仿宋_GB2312" w:hAnsi="仿宋_GB2312" w:eastAsia="仿宋_GB2312" w:cs="仿宋_GB2312"/>
          <w:sz w:val="32"/>
          <w:szCs w:val="32"/>
        </w:rPr>
        <w:t xml:space="preserve">18 </w:t>
      </w:r>
      <w:r>
        <w:rPr>
          <w:rFonts w:hint="eastAsia" w:ascii="仿宋_GB2312" w:hAnsi="仿宋_GB2312" w:eastAsia="仿宋_GB2312" w:cs="仿宋_GB2312"/>
          <w:sz w:val="32"/>
          <w:szCs w:val="32"/>
        </w:rPr>
        <w:t>号</w:t>
      </w:r>
      <w:r>
        <w:rPr>
          <w:rFonts w:ascii="仿宋_GB2312" w:hAnsi="仿宋_GB2312" w:eastAsia="仿宋_GB2312" w:cs="仿宋_GB2312"/>
          <w:sz w:val="32"/>
          <w:szCs w:val="32"/>
        </w:rPr>
        <w:t>)</w:t>
      </w:r>
      <w:r>
        <w:rPr>
          <w:rFonts w:hint="eastAsia" w:ascii="仿宋_GB2312" w:hAnsi="仿宋_GB2312" w:eastAsia="仿宋_GB2312" w:cs="仿宋_GB2312"/>
          <w:sz w:val="32"/>
          <w:szCs w:val="32"/>
        </w:rPr>
        <w:t>和《山东省非物质文化遗产条例》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等法律法规有关要求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经县政府批准</w:t>
      </w:r>
      <w:r>
        <w:rPr>
          <w:rFonts w:hint="eastAsia" w:ascii="仿宋_GB2312" w:hAnsi="仿宋_GB2312" w:eastAsia="仿宋_GB2312" w:cs="仿宋_GB2312"/>
          <w:sz w:val="32"/>
          <w:szCs w:val="32"/>
        </w:rPr>
        <w:t>《</w:t>
      </w:r>
      <w:r>
        <w:rPr>
          <w:rFonts w:hint="eastAsia" w:ascii="仿宋_GB2312" w:hAnsi="仿宋_GB2312" w:eastAsia="仿宋_GB2312" w:cs="仿宋_GB2312"/>
          <w:sz w:val="32"/>
          <w:szCs w:val="32"/>
          <w:vertAlign w:val="baseline"/>
          <w:lang w:eastAsia="zh-CN"/>
        </w:rPr>
        <w:t>山东快书</w:t>
      </w:r>
      <w:r>
        <w:rPr>
          <w:rFonts w:hint="eastAsia" w:ascii="仿宋_GB2312" w:hAnsi="仿宋_GB2312" w:eastAsia="仿宋_GB2312" w:cs="仿宋_GB2312"/>
          <w:sz w:val="32"/>
          <w:szCs w:val="32"/>
        </w:rPr>
        <w:t>》等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sz w:val="32"/>
          <w:szCs w:val="32"/>
        </w:rPr>
        <w:t>项文化遗产为县级非物质文化遗产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，现予以公布。</w:t>
      </w:r>
    </w:p>
    <w:p w14:paraId="3BF6F0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级各有关部门要按照国家、省、市有关法规和政策要求，认真贯彻落实“保护为主、抢救第一、合理利用、传承发展”的工作方针，坚持科学的保护理念，切实做好非物质文化遗产名录项目的保护、传承和管理工作，促进文化强县建设。</w:t>
      </w:r>
    </w:p>
    <w:p w14:paraId="50CBF9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 w14:paraId="6947C6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附件：冠县第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六</w:t>
      </w:r>
      <w:r>
        <w:rPr>
          <w:rFonts w:hint="eastAsia" w:ascii="仿宋_GB2312" w:hAnsi="仿宋_GB2312" w:eastAsia="仿宋_GB2312" w:cs="仿宋_GB2312"/>
          <w:sz w:val="32"/>
          <w:szCs w:val="32"/>
        </w:rPr>
        <w:t>批县级非物质文化遗产项目名录</w:t>
      </w:r>
    </w:p>
    <w:p w14:paraId="24ADEA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280" w:firstLineChars="4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 xml:space="preserve">                            </w:t>
      </w:r>
    </w:p>
    <w:p w14:paraId="0F5C7B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120" w:firstLineChars="16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冠县人民政府</w:t>
      </w:r>
    </w:p>
    <w:p w14:paraId="5B02E1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</w:pPr>
      <w:r>
        <w:rPr>
          <w:rFonts w:ascii="仿宋_GB2312" w:hAnsi="仿宋_GB2312" w:eastAsia="仿宋_GB2312" w:cs="仿宋_GB2312"/>
          <w:sz w:val="32"/>
          <w:szCs w:val="32"/>
        </w:rPr>
        <w:t xml:space="preserve">                           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12月24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2D2B3E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（此件公开发布）</w:t>
      </w:r>
    </w:p>
    <w:p w14:paraId="4B9ACD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02B66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89A78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63DC2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86D03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68DD846"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645BFA1"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FE3CBD7"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45E27EE"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9B32504"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B6212A2"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48330EB">
      <w:pPr>
        <w:spacing w:line="60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4CFA2C68">
      <w:pPr>
        <w:pStyle w:val="2"/>
        <w:rPr>
          <w:rFonts w:hint="eastAsia"/>
        </w:rPr>
      </w:pPr>
    </w:p>
    <w:p w14:paraId="29FB6927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36"/>
        </w:rPr>
        <w:t>冠县第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36"/>
          <w:lang w:eastAsia="zh-CN"/>
        </w:rPr>
        <w:t>六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36"/>
        </w:rPr>
        <w:t>批县级非物质文化遗产项目名录</w:t>
      </w:r>
    </w:p>
    <w:p w14:paraId="0925B2B6">
      <w:pPr>
        <w:spacing w:line="600" w:lineRule="exact"/>
        <w:jc w:val="center"/>
        <w:rPr>
          <w:rFonts w:ascii="黑体" w:hAnsi="仿宋_GB2312" w:eastAsia="黑体" w:cs="仿宋_GB2312"/>
          <w:sz w:val="28"/>
          <w:szCs w:val="28"/>
        </w:rPr>
      </w:pPr>
      <w:r>
        <w:rPr>
          <w:rFonts w:hint="eastAsia" w:ascii="黑体" w:hAnsi="仿宋_GB2312" w:eastAsia="黑体" w:cs="仿宋_GB2312"/>
          <w:sz w:val="28"/>
          <w:szCs w:val="28"/>
        </w:rPr>
        <w:t>（共计</w:t>
      </w:r>
      <w:r>
        <w:rPr>
          <w:rFonts w:hint="eastAsia" w:ascii="黑体" w:hAnsi="仿宋_GB2312" w:eastAsia="黑体" w:cs="仿宋_GB2312"/>
          <w:sz w:val="28"/>
          <w:szCs w:val="28"/>
          <w:lang w:val="en-US" w:eastAsia="zh-CN"/>
        </w:rPr>
        <w:t>18</w:t>
      </w:r>
      <w:r>
        <w:rPr>
          <w:rFonts w:hint="eastAsia" w:ascii="黑体" w:hAnsi="仿宋_GB2312" w:eastAsia="黑体" w:cs="仿宋_GB2312"/>
          <w:sz w:val="28"/>
          <w:szCs w:val="28"/>
        </w:rPr>
        <w:t>项）</w:t>
      </w:r>
    </w:p>
    <w:tbl>
      <w:tblPr>
        <w:tblStyle w:val="7"/>
        <w:tblW w:w="5002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3"/>
        <w:gridCol w:w="4768"/>
        <w:gridCol w:w="2121"/>
      </w:tblGrid>
      <w:tr w14:paraId="7709C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152" w:type="pct"/>
            <w:vAlign w:val="center"/>
          </w:tcPr>
          <w:p w14:paraId="62DA797B">
            <w:pPr>
              <w:jc w:val="center"/>
              <w:rPr>
                <w:rFonts w:ascii="黑体" w:hAnsi="仿宋_GB2312" w:eastAsia="黑体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黑体" w:hAnsi="仿宋_GB2312" w:eastAsia="黑体" w:cs="仿宋_GB2312"/>
                <w:b w:val="0"/>
                <w:bCs/>
                <w:sz w:val="28"/>
                <w:szCs w:val="28"/>
              </w:rPr>
              <w:t>门类</w:t>
            </w:r>
          </w:p>
        </w:tc>
        <w:tc>
          <w:tcPr>
            <w:tcW w:w="2662" w:type="pct"/>
            <w:vAlign w:val="center"/>
          </w:tcPr>
          <w:p w14:paraId="52C6DDF7">
            <w:pPr>
              <w:jc w:val="center"/>
              <w:rPr>
                <w:rFonts w:ascii="黑体" w:hAnsi="仿宋_GB2312" w:eastAsia="黑体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黑体" w:hAnsi="仿宋_GB2312" w:eastAsia="黑体" w:cs="仿宋_GB2312"/>
                <w:b w:val="0"/>
                <w:bCs/>
                <w:sz w:val="28"/>
                <w:szCs w:val="28"/>
              </w:rPr>
              <w:t>项目名称</w:t>
            </w:r>
          </w:p>
        </w:tc>
        <w:tc>
          <w:tcPr>
            <w:tcW w:w="1184" w:type="pct"/>
          </w:tcPr>
          <w:p w14:paraId="65781A2F">
            <w:pPr>
              <w:jc w:val="center"/>
              <w:rPr>
                <w:rFonts w:ascii="黑体" w:hAnsi="仿宋_GB2312" w:eastAsia="黑体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黑体" w:hAnsi="仿宋_GB2312" w:eastAsia="黑体" w:cs="仿宋_GB2312"/>
                <w:b w:val="0"/>
                <w:bCs/>
                <w:sz w:val="28"/>
                <w:szCs w:val="28"/>
              </w:rPr>
              <w:t>分布区域</w:t>
            </w:r>
          </w:p>
        </w:tc>
      </w:tr>
      <w:tr w14:paraId="288EF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1152" w:type="pct"/>
            <w:vAlign w:val="center"/>
          </w:tcPr>
          <w:p w14:paraId="001C05D6">
            <w:pPr>
              <w:tabs>
                <w:tab w:val="center" w:pos="1029"/>
                <w:tab w:val="right" w:pos="1938"/>
              </w:tabs>
              <w:spacing w:line="480" w:lineRule="exact"/>
              <w:jc w:val="center"/>
              <w:rPr>
                <w:rFonts w:hint="eastAsia" w:ascii="仿宋_GB2312" w:hAnsi="宋体" w:eastAsia="仿宋_GB2312" w:cs="仿宋_GB2312"/>
                <w:bCs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bCs/>
                <w:sz w:val="24"/>
                <w:lang w:eastAsia="zh-CN"/>
              </w:rPr>
              <w:t>曲艺</w:t>
            </w:r>
          </w:p>
        </w:tc>
        <w:tc>
          <w:tcPr>
            <w:tcW w:w="2662" w:type="pct"/>
            <w:vAlign w:val="center"/>
          </w:tcPr>
          <w:p w14:paraId="7A52B1EC">
            <w:pPr>
              <w:spacing w:line="480" w:lineRule="exact"/>
              <w:jc w:val="center"/>
              <w:rPr>
                <w:rFonts w:hint="eastAsia" w:ascii="仿宋_GB2312" w:hAnsi="宋体" w:eastAsia="仿宋_GB2312" w:cs="仿宋_GB2312"/>
                <w:bCs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bCs/>
                <w:sz w:val="24"/>
                <w:lang w:eastAsia="zh-CN"/>
              </w:rPr>
              <w:t>山东快书</w:t>
            </w:r>
          </w:p>
        </w:tc>
        <w:tc>
          <w:tcPr>
            <w:tcW w:w="1184" w:type="pct"/>
          </w:tcPr>
          <w:p w14:paraId="7898C5F1">
            <w:pPr>
              <w:spacing w:line="480" w:lineRule="exact"/>
              <w:jc w:val="center"/>
              <w:rPr>
                <w:rFonts w:hint="eastAsia" w:ascii="仿宋_GB2312" w:hAnsi="宋体" w:eastAsia="仿宋_GB2312" w:cs="仿宋_GB2312"/>
                <w:bCs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bCs/>
                <w:sz w:val="24"/>
                <w:lang w:eastAsia="zh-CN"/>
              </w:rPr>
              <w:t>定远寨镇</w:t>
            </w:r>
          </w:p>
        </w:tc>
      </w:tr>
      <w:tr w14:paraId="2FA98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152" w:type="pct"/>
            <w:vMerge w:val="restart"/>
            <w:vAlign w:val="center"/>
          </w:tcPr>
          <w:p w14:paraId="6AEE6BD8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传统体育</w:t>
            </w:r>
          </w:p>
          <w:p w14:paraId="4F6C2226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游艺与杂技</w:t>
            </w:r>
          </w:p>
        </w:tc>
        <w:tc>
          <w:tcPr>
            <w:tcW w:w="2662" w:type="pct"/>
            <w:vAlign w:val="center"/>
          </w:tcPr>
          <w:p w14:paraId="66E69B19">
            <w:pPr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sz w:val="24"/>
                <w:lang w:eastAsia="zh-CN"/>
              </w:rPr>
              <w:t>太祖长拳</w:t>
            </w:r>
          </w:p>
        </w:tc>
        <w:tc>
          <w:tcPr>
            <w:tcW w:w="1184" w:type="pct"/>
            <w:vAlign w:val="center"/>
          </w:tcPr>
          <w:p w14:paraId="2B5B8744">
            <w:pPr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sz w:val="24"/>
                <w:lang w:eastAsia="zh-CN"/>
              </w:rPr>
              <w:t>北馆陶镇</w:t>
            </w:r>
          </w:p>
        </w:tc>
      </w:tr>
      <w:tr w14:paraId="4F88D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152" w:type="pct"/>
            <w:vMerge w:val="continue"/>
            <w:vAlign w:val="center"/>
          </w:tcPr>
          <w:p w14:paraId="5816F31A">
            <w:pPr>
              <w:widowControl/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662" w:type="pct"/>
            <w:vAlign w:val="center"/>
          </w:tcPr>
          <w:p w14:paraId="4755284A">
            <w:pPr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sz w:val="24"/>
                <w:lang w:eastAsia="zh-CN"/>
              </w:rPr>
              <w:t>母子锤</w:t>
            </w:r>
          </w:p>
        </w:tc>
        <w:tc>
          <w:tcPr>
            <w:tcW w:w="1184" w:type="pct"/>
            <w:vAlign w:val="center"/>
          </w:tcPr>
          <w:p w14:paraId="0997A60D">
            <w:pPr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sz w:val="24"/>
                <w:lang w:eastAsia="zh-CN"/>
              </w:rPr>
              <w:t>店子镇</w:t>
            </w:r>
          </w:p>
        </w:tc>
      </w:tr>
      <w:tr w14:paraId="26FB4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152" w:type="pct"/>
            <w:vMerge w:val="continue"/>
            <w:vAlign w:val="center"/>
          </w:tcPr>
          <w:p w14:paraId="521421B8">
            <w:pPr>
              <w:widowControl/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662" w:type="pct"/>
            <w:vAlign w:val="center"/>
          </w:tcPr>
          <w:p w14:paraId="6B5A7BC9">
            <w:pPr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sz w:val="24"/>
                <w:lang w:eastAsia="zh-CN"/>
              </w:rPr>
              <w:t>四门春秋大刀</w:t>
            </w:r>
          </w:p>
        </w:tc>
        <w:tc>
          <w:tcPr>
            <w:tcW w:w="1184" w:type="pct"/>
            <w:vAlign w:val="center"/>
          </w:tcPr>
          <w:p w14:paraId="7ED64E33">
            <w:pPr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sz w:val="24"/>
                <w:lang w:eastAsia="zh-CN"/>
              </w:rPr>
              <w:t>崇文街道办事处</w:t>
            </w:r>
          </w:p>
        </w:tc>
      </w:tr>
      <w:tr w14:paraId="13F74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152" w:type="pct"/>
            <w:vMerge w:val="restart"/>
            <w:vAlign w:val="center"/>
          </w:tcPr>
          <w:p w14:paraId="2DC0A2C2">
            <w:pPr>
              <w:spacing w:line="480" w:lineRule="exact"/>
              <w:jc w:val="center"/>
              <w:rPr>
                <w:rFonts w:ascii="仿宋_GB2312" w:hAnsi="宋体" w:eastAsia="仿宋_GB2312" w:cs="仿宋_GB2312"/>
                <w:bCs/>
                <w:sz w:val="24"/>
              </w:rPr>
            </w:pPr>
            <w:r>
              <w:rPr>
                <w:rFonts w:hint="eastAsia" w:ascii="仿宋_GB2312" w:hAnsi="宋体" w:eastAsia="仿宋_GB2312" w:cs="仿宋_GB2312"/>
                <w:bCs/>
                <w:sz w:val="24"/>
              </w:rPr>
              <w:t>传统技艺</w:t>
            </w:r>
          </w:p>
        </w:tc>
        <w:tc>
          <w:tcPr>
            <w:tcW w:w="2662" w:type="pct"/>
            <w:vAlign w:val="center"/>
          </w:tcPr>
          <w:p w14:paraId="69D878A8">
            <w:pPr>
              <w:jc w:val="center"/>
              <w:rPr>
                <w:rFonts w:hint="eastAsia" w:ascii="仿宋_GB2312" w:hAnsi="宋体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冠县烧鸡制作技艺</w:t>
            </w:r>
          </w:p>
        </w:tc>
        <w:tc>
          <w:tcPr>
            <w:tcW w:w="1184" w:type="pct"/>
            <w:vAlign w:val="center"/>
          </w:tcPr>
          <w:p w14:paraId="51CF71AB">
            <w:pPr>
              <w:jc w:val="center"/>
              <w:rPr>
                <w:rFonts w:hint="eastAsia" w:ascii="仿宋_GB2312" w:hAnsi="宋体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清泉街道办事处、崇文街道办事处、贾镇、柳林镇</w:t>
            </w:r>
          </w:p>
        </w:tc>
      </w:tr>
      <w:tr w14:paraId="50021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152" w:type="pct"/>
            <w:vMerge w:val="continue"/>
            <w:vAlign w:val="center"/>
          </w:tcPr>
          <w:p w14:paraId="158358F8">
            <w:pPr>
              <w:widowControl/>
              <w:jc w:val="left"/>
              <w:rPr>
                <w:rFonts w:ascii="仿宋_GB2312" w:hAnsi="宋体" w:eastAsia="仿宋_GB2312" w:cs="仿宋_GB2312"/>
                <w:bCs/>
                <w:sz w:val="24"/>
              </w:rPr>
            </w:pPr>
          </w:p>
        </w:tc>
        <w:tc>
          <w:tcPr>
            <w:tcW w:w="2662" w:type="pct"/>
            <w:vAlign w:val="center"/>
          </w:tcPr>
          <w:p w14:paraId="537EA077">
            <w:pPr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sz w:val="24"/>
                <w:lang w:eastAsia="zh-CN"/>
              </w:rPr>
              <w:t>传统传拓技艺</w:t>
            </w:r>
          </w:p>
        </w:tc>
        <w:tc>
          <w:tcPr>
            <w:tcW w:w="1184" w:type="pct"/>
            <w:vAlign w:val="center"/>
          </w:tcPr>
          <w:p w14:paraId="59774901">
            <w:pPr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sz w:val="24"/>
                <w:lang w:eastAsia="zh-CN"/>
              </w:rPr>
              <w:t>清泉街道办事处、东古城镇</w:t>
            </w:r>
          </w:p>
        </w:tc>
      </w:tr>
      <w:tr w14:paraId="5B433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152" w:type="pct"/>
            <w:vMerge w:val="continue"/>
            <w:vAlign w:val="center"/>
          </w:tcPr>
          <w:p w14:paraId="04665B15">
            <w:pPr>
              <w:widowControl/>
              <w:jc w:val="left"/>
              <w:rPr>
                <w:rFonts w:ascii="仿宋_GB2312" w:hAnsi="宋体" w:eastAsia="仿宋_GB2312" w:cs="仿宋_GB2312"/>
                <w:bCs/>
                <w:sz w:val="24"/>
              </w:rPr>
            </w:pPr>
          </w:p>
        </w:tc>
        <w:tc>
          <w:tcPr>
            <w:tcW w:w="2662" w:type="pct"/>
            <w:vAlign w:val="center"/>
          </w:tcPr>
          <w:p w14:paraId="648CB682">
            <w:pPr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sz w:val="24"/>
                <w:lang w:eastAsia="zh-CN"/>
              </w:rPr>
              <w:t>冠县传统香油制作技艺</w:t>
            </w:r>
          </w:p>
        </w:tc>
        <w:tc>
          <w:tcPr>
            <w:tcW w:w="1184" w:type="pct"/>
            <w:vAlign w:val="center"/>
          </w:tcPr>
          <w:p w14:paraId="34C6AE42">
            <w:pPr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sz w:val="24"/>
                <w:lang w:eastAsia="zh-CN"/>
              </w:rPr>
              <w:t>贾镇、清水镇</w:t>
            </w:r>
          </w:p>
        </w:tc>
      </w:tr>
      <w:tr w14:paraId="6BBC8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152" w:type="pct"/>
            <w:vMerge w:val="continue"/>
            <w:vAlign w:val="center"/>
          </w:tcPr>
          <w:p w14:paraId="3F79DE1E">
            <w:pPr>
              <w:widowControl/>
              <w:jc w:val="left"/>
              <w:rPr>
                <w:rFonts w:ascii="仿宋_GB2312" w:hAnsi="宋体" w:eastAsia="仿宋_GB2312" w:cs="仿宋_GB2312"/>
                <w:bCs/>
                <w:sz w:val="24"/>
              </w:rPr>
            </w:pPr>
          </w:p>
        </w:tc>
        <w:tc>
          <w:tcPr>
            <w:tcW w:w="2662" w:type="pct"/>
            <w:vAlign w:val="center"/>
          </w:tcPr>
          <w:p w14:paraId="2E29FD7E">
            <w:pPr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sz w:val="24"/>
                <w:lang w:eastAsia="zh-CN"/>
              </w:rPr>
              <w:t>冠县手工挂面制作技艺</w:t>
            </w:r>
          </w:p>
        </w:tc>
        <w:tc>
          <w:tcPr>
            <w:tcW w:w="1184" w:type="pct"/>
            <w:vAlign w:val="center"/>
          </w:tcPr>
          <w:p w14:paraId="0645A592">
            <w:pPr>
              <w:jc w:val="center"/>
              <w:rPr>
                <w:rFonts w:hint="eastAsia" w:ascii="仿宋_GB2312" w:hAnsi="宋体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万善乡、清水镇</w:t>
            </w:r>
          </w:p>
        </w:tc>
      </w:tr>
      <w:tr w14:paraId="02788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152" w:type="pct"/>
            <w:vMerge w:val="continue"/>
            <w:vAlign w:val="center"/>
          </w:tcPr>
          <w:p w14:paraId="49E51DE0">
            <w:pPr>
              <w:widowControl/>
              <w:jc w:val="left"/>
              <w:rPr>
                <w:rFonts w:ascii="仿宋_GB2312" w:hAnsi="宋体" w:eastAsia="仿宋_GB2312" w:cs="仿宋_GB2312"/>
                <w:bCs/>
                <w:sz w:val="24"/>
              </w:rPr>
            </w:pPr>
          </w:p>
        </w:tc>
        <w:tc>
          <w:tcPr>
            <w:tcW w:w="2662" w:type="pct"/>
            <w:vAlign w:val="center"/>
          </w:tcPr>
          <w:p w14:paraId="20799683">
            <w:pPr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sz w:val="24"/>
                <w:lang w:eastAsia="zh-CN"/>
              </w:rPr>
              <w:t>杨召粉皮</w:t>
            </w:r>
          </w:p>
        </w:tc>
        <w:tc>
          <w:tcPr>
            <w:tcW w:w="1184" w:type="pct"/>
            <w:vAlign w:val="center"/>
          </w:tcPr>
          <w:p w14:paraId="0F4E9671">
            <w:pPr>
              <w:jc w:val="center"/>
              <w:rPr>
                <w:rFonts w:hint="eastAsia" w:ascii="仿宋_GB2312" w:hAnsi="宋体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东古城镇</w:t>
            </w:r>
          </w:p>
        </w:tc>
      </w:tr>
      <w:tr w14:paraId="56ADF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152" w:type="pct"/>
            <w:vMerge w:val="continue"/>
            <w:vAlign w:val="center"/>
          </w:tcPr>
          <w:p w14:paraId="0349A2A3">
            <w:pPr>
              <w:widowControl/>
              <w:jc w:val="left"/>
              <w:rPr>
                <w:rFonts w:ascii="仿宋_GB2312" w:hAnsi="宋体" w:eastAsia="仿宋_GB2312" w:cs="仿宋_GB2312"/>
                <w:bCs/>
                <w:sz w:val="24"/>
              </w:rPr>
            </w:pPr>
          </w:p>
        </w:tc>
        <w:tc>
          <w:tcPr>
            <w:tcW w:w="2662" w:type="pct"/>
            <w:vAlign w:val="center"/>
          </w:tcPr>
          <w:p w14:paraId="05F353FE">
            <w:pPr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sz w:val="24"/>
                <w:lang w:eastAsia="zh-CN"/>
              </w:rPr>
              <w:t>克宁粉条</w:t>
            </w:r>
          </w:p>
        </w:tc>
        <w:tc>
          <w:tcPr>
            <w:tcW w:w="1184" w:type="pct"/>
            <w:vAlign w:val="center"/>
          </w:tcPr>
          <w:p w14:paraId="3255DF32">
            <w:pPr>
              <w:jc w:val="center"/>
              <w:rPr>
                <w:rFonts w:hint="eastAsia" w:ascii="仿宋_GB2312" w:hAnsi="宋体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东古城镇</w:t>
            </w:r>
          </w:p>
        </w:tc>
      </w:tr>
      <w:tr w14:paraId="2E98A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152" w:type="pct"/>
            <w:vMerge w:val="continue"/>
            <w:vAlign w:val="center"/>
          </w:tcPr>
          <w:p w14:paraId="03CD0CEA">
            <w:pPr>
              <w:widowControl/>
              <w:jc w:val="left"/>
              <w:rPr>
                <w:rFonts w:ascii="仿宋_GB2312" w:hAnsi="宋体" w:eastAsia="仿宋_GB2312" w:cs="仿宋_GB2312"/>
                <w:bCs/>
                <w:sz w:val="24"/>
              </w:rPr>
            </w:pPr>
          </w:p>
        </w:tc>
        <w:tc>
          <w:tcPr>
            <w:tcW w:w="2662" w:type="pct"/>
            <w:vAlign w:val="center"/>
          </w:tcPr>
          <w:p w14:paraId="1EB89BF3">
            <w:pPr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  <w:t>柳林“常乐园”传统厨艺</w:t>
            </w:r>
          </w:p>
        </w:tc>
        <w:tc>
          <w:tcPr>
            <w:tcW w:w="1184" w:type="pct"/>
            <w:vAlign w:val="center"/>
          </w:tcPr>
          <w:p w14:paraId="39403542">
            <w:pPr>
              <w:jc w:val="center"/>
              <w:rPr>
                <w:rFonts w:hint="eastAsia" w:ascii="仿宋_GB2312" w:hAnsi="宋体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柳林镇</w:t>
            </w:r>
          </w:p>
        </w:tc>
      </w:tr>
      <w:tr w14:paraId="72A4D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152" w:type="pct"/>
            <w:vMerge w:val="continue"/>
            <w:vAlign w:val="center"/>
          </w:tcPr>
          <w:p w14:paraId="386367FA">
            <w:pPr>
              <w:widowControl/>
              <w:jc w:val="left"/>
              <w:rPr>
                <w:rFonts w:ascii="仿宋_GB2312" w:hAnsi="宋体" w:eastAsia="仿宋_GB2312" w:cs="仿宋_GB2312"/>
                <w:bCs/>
                <w:sz w:val="24"/>
              </w:rPr>
            </w:pPr>
          </w:p>
        </w:tc>
        <w:tc>
          <w:tcPr>
            <w:tcW w:w="2662" w:type="pct"/>
            <w:vAlign w:val="center"/>
          </w:tcPr>
          <w:p w14:paraId="3D9FEED6">
            <w:pPr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sz w:val="24"/>
                <w:lang w:eastAsia="zh-CN"/>
              </w:rPr>
              <w:t>柳林“高家老酒坊”酿酒技艺</w:t>
            </w:r>
          </w:p>
        </w:tc>
        <w:tc>
          <w:tcPr>
            <w:tcW w:w="1184" w:type="pct"/>
            <w:vAlign w:val="center"/>
          </w:tcPr>
          <w:p w14:paraId="21D447ED">
            <w:pPr>
              <w:jc w:val="center"/>
              <w:rPr>
                <w:rFonts w:hint="eastAsia" w:ascii="仿宋_GB2312" w:hAnsi="宋体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柳林镇</w:t>
            </w:r>
          </w:p>
        </w:tc>
      </w:tr>
      <w:tr w14:paraId="3E201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152" w:type="pct"/>
            <w:vMerge w:val="continue"/>
            <w:vAlign w:val="center"/>
          </w:tcPr>
          <w:p w14:paraId="46F39D5C">
            <w:pPr>
              <w:widowControl/>
              <w:jc w:val="left"/>
              <w:rPr>
                <w:rFonts w:ascii="仿宋_GB2312" w:hAnsi="宋体" w:eastAsia="仿宋_GB2312" w:cs="仿宋_GB2312"/>
                <w:bCs/>
                <w:sz w:val="24"/>
              </w:rPr>
            </w:pPr>
          </w:p>
        </w:tc>
        <w:tc>
          <w:tcPr>
            <w:tcW w:w="2662" w:type="pct"/>
            <w:vAlign w:val="center"/>
          </w:tcPr>
          <w:p w14:paraId="39A651D6">
            <w:pPr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sz w:val="24"/>
                <w:lang w:eastAsia="zh-CN"/>
              </w:rPr>
              <w:t>蛋雕刻画技艺</w:t>
            </w:r>
          </w:p>
        </w:tc>
        <w:tc>
          <w:tcPr>
            <w:tcW w:w="1184" w:type="pct"/>
            <w:vAlign w:val="center"/>
          </w:tcPr>
          <w:p w14:paraId="2315C0C7">
            <w:pPr>
              <w:jc w:val="center"/>
              <w:rPr>
                <w:rFonts w:hint="eastAsia" w:ascii="仿宋_GB2312" w:hAnsi="宋体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清水镇</w:t>
            </w:r>
          </w:p>
        </w:tc>
      </w:tr>
      <w:tr w14:paraId="66FC2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" w:hRule="atLeast"/>
        </w:trPr>
        <w:tc>
          <w:tcPr>
            <w:tcW w:w="1152" w:type="pct"/>
            <w:vMerge w:val="continue"/>
            <w:vAlign w:val="center"/>
          </w:tcPr>
          <w:p w14:paraId="35FABA8A">
            <w:pPr>
              <w:widowControl/>
              <w:jc w:val="left"/>
              <w:rPr>
                <w:rFonts w:ascii="仿宋_GB2312" w:hAnsi="宋体" w:eastAsia="仿宋_GB2312" w:cs="仿宋_GB2312"/>
                <w:bCs/>
                <w:sz w:val="24"/>
              </w:rPr>
            </w:pPr>
          </w:p>
        </w:tc>
        <w:tc>
          <w:tcPr>
            <w:tcW w:w="2662" w:type="pct"/>
            <w:vAlign w:val="center"/>
          </w:tcPr>
          <w:p w14:paraId="25E2DF03">
            <w:pPr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sz w:val="24"/>
                <w:lang w:eastAsia="zh-CN"/>
              </w:rPr>
              <w:t>冠县回族“十大风味菜”传统厨艺</w:t>
            </w:r>
          </w:p>
        </w:tc>
        <w:tc>
          <w:tcPr>
            <w:tcW w:w="1184" w:type="pct"/>
            <w:vAlign w:val="center"/>
          </w:tcPr>
          <w:p w14:paraId="4B64B13F">
            <w:pPr>
              <w:jc w:val="center"/>
              <w:rPr>
                <w:rFonts w:hint="eastAsia" w:ascii="仿宋_GB2312" w:hAnsi="宋体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清泉</w:t>
            </w:r>
            <w:r>
              <w:rPr>
                <w:rFonts w:hint="eastAsia" w:ascii="仿宋_GB2312" w:hAnsi="宋体" w:eastAsia="仿宋_GB2312"/>
                <w:sz w:val="24"/>
              </w:rPr>
              <w:t>街道</w:t>
            </w:r>
            <w:r>
              <w:rPr>
                <w:rFonts w:hint="eastAsia" w:ascii="仿宋_GB2312" w:hAnsi="宋体" w:eastAsia="仿宋_GB2312"/>
                <w:sz w:val="24"/>
                <w:lang w:eastAsia="zh-CN"/>
              </w:rPr>
              <w:t>办事处</w:t>
            </w:r>
          </w:p>
        </w:tc>
      </w:tr>
      <w:tr w14:paraId="17BA7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" w:hRule="atLeast"/>
        </w:trPr>
        <w:tc>
          <w:tcPr>
            <w:tcW w:w="1152" w:type="pct"/>
            <w:vMerge w:val="continue"/>
            <w:vAlign w:val="center"/>
          </w:tcPr>
          <w:p w14:paraId="53B7600C">
            <w:pPr>
              <w:widowControl/>
              <w:jc w:val="left"/>
              <w:rPr>
                <w:rFonts w:ascii="仿宋_GB2312" w:hAnsi="宋体" w:eastAsia="仿宋_GB2312" w:cs="仿宋_GB2312"/>
                <w:bCs/>
                <w:sz w:val="24"/>
              </w:rPr>
            </w:pPr>
          </w:p>
        </w:tc>
        <w:tc>
          <w:tcPr>
            <w:tcW w:w="2662" w:type="pct"/>
            <w:vAlign w:val="center"/>
          </w:tcPr>
          <w:p w14:paraId="788C9D1E">
            <w:pPr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sz w:val="24"/>
                <w:lang w:eastAsia="zh-CN"/>
              </w:rPr>
              <w:t>冠县酥肉（杨家）</w:t>
            </w:r>
          </w:p>
        </w:tc>
        <w:tc>
          <w:tcPr>
            <w:tcW w:w="1184" w:type="pct"/>
            <w:vAlign w:val="center"/>
          </w:tcPr>
          <w:p w14:paraId="137168C0">
            <w:pPr>
              <w:jc w:val="center"/>
              <w:rPr>
                <w:rFonts w:hint="eastAsia" w:ascii="仿宋_GB2312" w:hAnsi="宋体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清泉</w:t>
            </w:r>
            <w:r>
              <w:rPr>
                <w:rFonts w:hint="eastAsia" w:ascii="仿宋_GB2312" w:hAnsi="宋体" w:eastAsia="仿宋_GB2312"/>
                <w:sz w:val="24"/>
              </w:rPr>
              <w:t>街道</w:t>
            </w:r>
            <w:r>
              <w:rPr>
                <w:rFonts w:hint="eastAsia" w:ascii="仿宋_GB2312" w:hAnsi="宋体" w:eastAsia="仿宋_GB2312"/>
                <w:sz w:val="24"/>
                <w:lang w:eastAsia="zh-CN"/>
              </w:rPr>
              <w:t>办事处</w:t>
            </w:r>
          </w:p>
        </w:tc>
      </w:tr>
      <w:tr w14:paraId="4B41A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" w:hRule="atLeast"/>
        </w:trPr>
        <w:tc>
          <w:tcPr>
            <w:tcW w:w="1152" w:type="pct"/>
            <w:vMerge w:val="continue"/>
            <w:vAlign w:val="center"/>
          </w:tcPr>
          <w:p w14:paraId="264678EE">
            <w:pPr>
              <w:widowControl/>
              <w:jc w:val="left"/>
              <w:rPr>
                <w:rFonts w:ascii="仿宋_GB2312" w:hAnsi="宋体" w:eastAsia="仿宋_GB2312" w:cs="仿宋_GB2312"/>
                <w:bCs/>
                <w:sz w:val="24"/>
              </w:rPr>
            </w:pPr>
          </w:p>
        </w:tc>
        <w:tc>
          <w:tcPr>
            <w:tcW w:w="2662" w:type="pct"/>
            <w:vAlign w:val="center"/>
          </w:tcPr>
          <w:p w14:paraId="19806EF2">
            <w:pPr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sz w:val="24"/>
                <w:lang w:eastAsia="zh-CN"/>
              </w:rPr>
              <w:t>益消丸制作技艺</w:t>
            </w:r>
          </w:p>
        </w:tc>
        <w:tc>
          <w:tcPr>
            <w:tcW w:w="1184" w:type="pct"/>
            <w:vAlign w:val="center"/>
          </w:tcPr>
          <w:p w14:paraId="4EA624DD">
            <w:pPr>
              <w:jc w:val="center"/>
              <w:rPr>
                <w:rFonts w:hint="eastAsia" w:ascii="仿宋_GB2312" w:hAnsi="宋体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清泉</w:t>
            </w:r>
            <w:r>
              <w:rPr>
                <w:rFonts w:hint="eastAsia" w:ascii="仿宋_GB2312" w:hAnsi="宋体" w:eastAsia="仿宋_GB2312"/>
                <w:sz w:val="24"/>
              </w:rPr>
              <w:t>街道</w:t>
            </w:r>
            <w:r>
              <w:rPr>
                <w:rFonts w:hint="eastAsia" w:ascii="仿宋_GB2312" w:hAnsi="宋体" w:eastAsia="仿宋_GB2312"/>
                <w:sz w:val="24"/>
                <w:lang w:eastAsia="zh-CN"/>
              </w:rPr>
              <w:t>办事处</w:t>
            </w:r>
          </w:p>
        </w:tc>
      </w:tr>
      <w:tr w14:paraId="570A1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" w:hRule="atLeast"/>
        </w:trPr>
        <w:tc>
          <w:tcPr>
            <w:tcW w:w="1152" w:type="pct"/>
            <w:vMerge w:val="continue"/>
            <w:vAlign w:val="center"/>
          </w:tcPr>
          <w:p w14:paraId="0E1370D0">
            <w:pPr>
              <w:widowControl/>
              <w:jc w:val="left"/>
              <w:rPr>
                <w:rFonts w:ascii="仿宋_GB2312" w:hAnsi="宋体" w:eastAsia="仿宋_GB2312" w:cs="仿宋_GB2312"/>
                <w:bCs/>
                <w:sz w:val="24"/>
              </w:rPr>
            </w:pPr>
          </w:p>
        </w:tc>
        <w:tc>
          <w:tcPr>
            <w:tcW w:w="2662" w:type="pct"/>
            <w:vAlign w:val="center"/>
          </w:tcPr>
          <w:p w14:paraId="35C24B28">
            <w:pPr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sz w:val="24"/>
                <w:lang w:eastAsia="zh-CN"/>
              </w:rPr>
              <w:t>杨氏手形（纹）诊疗法</w:t>
            </w:r>
          </w:p>
        </w:tc>
        <w:tc>
          <w:tcPr>
            <w:tcW w:w="1184" w:type="pct"/>
            <w:vAlign w:val="center"/>
          </w:tcPr>
          <w:p w14:paraId="7E3248A0">
            <w:pPr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清泉</w:t>
            </w:r>
            <w:r>
              <w:rPr>
                <w:rFonts w:hint="eastAsia" w:ascii="仿宋_GB2312" w:hAnsi="宋体" w:eastAsia="仿宋_GB2312"/>
                <w:sz w:val="24"/>
              </w:rPr>
              <w:t>街道</w:t>
            </w:r>
            <w:r>
              <w:rPr>
                <w:rFonts w:hint="eastAsia" w:ascii="仿宋_GB2312" w:hAnsi="宋体" w:eastAsia="仿宋_GB2312"/>
                <w:sz w:val="24"/>
                <w:lang w:eastAsia="zh-CN"/>
              </w:rPr>
              <w:t>办事处</w:t>
            </w:r>
          </w:p>
        </w:tc>
      </w:tr>
      <w:tr w14:paraId="2527D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152" w:type="pct"/>
            <w:vMerge w:val="continue"/>
            <w:vAlign w:val="center"/>
          </w:tcPr>
          <w:p w14:paraId="2E9C05C8">
            <w:pPr>
              <w:widowControl/>
              <w:jc w:val="left"/>
              <w:rPr>
                <w:rFonts w:ascii="仿宋_GB2312" w:hAnsi="宋体" w:eastAsia="仿宋_GB2312" w:cs="仿宋_GB2312"/>
                <w:bCs/>
                <w:sz w:val="24"/>
              </w:rPr>
            </w:pPr>
          </w:p>
        </w:tc>
        <w:tc>
          <w:tcPr>
            <w:tcW w:w="2662" w:type="pct"/>
            <w:vAlign w:val="center"/>
          </w:tcPr>
          <w:p w14:paraId="42771DF9">
            <w:pPr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sz w:val="24"/>
                <w:lang w:eastAsia="zh-CN"/>
              </w:rPr>
              <w:t>鼻炎膏制作技艺</w:t>
            </w:r>
          </w:p>
        </w:tc>
        <w:tc>
          <w:tcPr>
            <w:tcW w:w="1184" w:type="pct"/>
            <w:vAlign w:val="center"/>
          </w:tcPr>
          <w:p w14:paraId="2E4B81EA">
            <w:pPr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sz w:val="24"/>
                <w:lang w:eastAsia="zh-CN"/>
              </w:rPr>
              <w:t>兰沃乡</w:t>
            </w:r>
          </w:p>
        </w:tc>
      </w:tr>
    </w:tbl>
    <w:p w14:paraId="6B2F8E6C"/>
    <w:p w14:paraId="23C5695D">
      <w:pPr>
        <w:pStyle w:val="2"/>
      </w:pPr>
    </w:p>
    <w:p w14:paraId="700095F3"/>
    <w:p w14:paraId="770D98A9">
      <w:pPr>
        <w:pStyle w:val="2"/>
      </w:pPr>
    </w:p>
    <w:p w14:paraId="11E0460B"/>
    <w:p w14:paraId="4F48DA50">
      <w:pPr>
        <w:pStyle w:val="3"/>
        <w:rPr>
          <w:rFonts w:ascii="仿宋_GB2312" w:hAnsi="仿宋_GB2312" w:eastAsia="仿宋_GB2312" w:cs="仿宋_GB2312"/>
          <w:color w:val="0000FF"/>
          <w:sz w:val="32"/>
          <w:szCs w:val="32"/>
        </w:rPr>
      </w:pPr>
    </w:p>
    <w:p w14:paraId="502893C2">
      <w:pPr>
        <w:pStyle w:val="3"/>
        <w:rPr>
          <w:rFonts w:ascii="仿宋_GB2312" w:hAnsi="仿宋_GB2312" w:eastAsia="仿宋_GB2312" w:cs="仿宋_GB2312"/>
          <w:color w:val="0000FF"/>
          <w:sz w:val="32"/>
          <w:szCs w:val="32"/>
        </w:rPr>
      </w:pPr>
    </w:p>
    <w:p w14:paraId="73186E43">
      <w:pPr>
        <w:pStyle w:val="3"/>
        <w:rPr>
          <w:rFonts w:ascii="仿宋_GB2312" w:hAnsi="仿宋_GB2312" w:eastAsia="仿宋_GB2312" w:cs="仿宋_GB2312"/>
          <w:color w:val="0000FF"/>
          <w:sz w:val="32"/>
          <w:szCs w:val="32"/>
        </w:rPr>
      </w:pPr>
    </w:p>
    <w:p w14:paraId="6246444F">
      <w:pPr>
        <w:pStyle w:val="3"/>
        <w:rPr>
          <w:rFonts w:ascii="仿宋_GB2312" w:hAnsi="仿宋_GB2312" w:eastAsia="仿宋_GB2312" w:cs="仿宋_GB2312"/>
          <w:color w:val="0000FF"/>
          <w:sz w:val="32"/>
          <w:szCs w:val="32"/>
        </w:rPr>
      </w:pPr>
    </w:p>
    <w:p w14:paraId="0DF68CF4">
      <w:pPr>
        <w:pStyle w:val="3"/>
        <w:rPr>
          <w:rFonts w:ascii="仿宋_GB2312" w:hAnsi="仿宋_GB2312" w:eastAsia="仿宋_GB2312" w:cs="仿宋_GB2312"/>
          <w:color w:val="0000FF"/>
          <w:sz w:val="32"/>
          <w:szCs w:val="32"/>
        </w:rPr>
      </w:pPr>
    </w:p>
    <w:p w14:paraId="74CED1B7">
      <w:pPr>
        <w:pStyle w:val="3"/>
        <w:rPr>
          <w:rFonts w:ascii="仿宋_GB2312" w:hAnsi="仿宋_GB2312" w:eastAsia="仿宋_GB2312" w:cs="仿宋_GB2312"/>
          <w:color w:val="0000FF"/>
          <w:sz w:val="32"/>
          <w:szCs w:val="32"/>
        </w:rPr>
      </w:pPr>
    </w:p>
    <w:p w14:paraId="5DB9F583">
      <w:pPr>
        <w:pStyle w:val="3"/>
        <w:rPr>
          <w:rFonts w:ascii="仿宋_GB2312" w:hAnsi="仿宋_GB2312" w:eastAsia="仿宋_GB2312" w:cs="仿宋_GB2312"/>
          <w:color w:val="0000FF"/>
          <w:sz w:val="32"/>
          <w:szCs w:val="32"/>
        </w:rPr>
      </w:pPr>
    </w:p>
    <w:p w14:paraId="277CDBF3">
      <w:pPr>
        <w:pStyle w:val="3"/>
        <w:rPr>
          <w:rFonts w:ascii="仿宋_GB2312" w:hAnsi="仿宋_GB2312" w:eastAsia="仿宋_GB2312" w:cs="仿宋_GB2312"/>
          <w:color w:val="0000FF"/>
          <w:sz w:val="32"/>
          <w:szCs w:val="32"/>
        </w:rPr>
      </w:pPr>
    </w:p>
    <w:p w14:paraId="7F7F102B">
      <w:pPr>
        <w:pStyle w:val="3"/>
        <w:rPr>
          <w:rFonts w:ascii="仿宋_GB2312" w:hAnsi="仿宋_GB2312" w:eastAsia="仿宋_GB2312" w:cs="仿宋_GB2312"/>
          <w:color w:val="0000FF"/>
          <w:sz w:val="32"/>
          <w:szCs w:val="32"/>
        </w:rPr>
      </w:pPr>
    </w:p>
    <w:p w14:paraId="56BC87C7">
      <w:pPr>
        <w:pStyle w:val="3"/>
        <w:rPr>
          <w:rFonts w:ascii="仿宋_GB2312" w:hAnsi="仿宋_GB2312" w:eastAsia="仿宋_GB2312" w:cs="仿宋_GB2312"/>
          <w:color w:val="0000FF"/>
          <w:sz w:val="32"/>
          <w:szCs w:val="32"/>
        </w:rPr>
      </w:pPr>
    </w:p>
    <w:p w14:paraId="7F4F15E4">
      <w:pPr>
        <w:pStyle w:val="3"/>
        <w:rPr>
          <w:rFonts w:ascii="仿宋_GB2312" w:hAnsi="仿宋_GB2312" w:eastAsia="仿宋_GB2312" w:cs="仿宋_GB2312"/>
          <w:color w:val="0000FF"/>
          <w:sz w:val="32"/>
          <w:szCs w:val="32"/>
        </w:rPr>
      </w:pPr>
    </w:p>
    <w:p w14:paraId="18FE4059">
      <w:pPr>
        <w:pStyle w:val="3"/>
        <w:rPr>
          <w:rFonts w:ascii="仿宋_GB2312" w:hAnsi="仿宋_GB2312" w:eastAsia="仿宋_GB2312" w:cs="仿宋_GB2312"/>
          <w:color w:val="0000FF"/>
          <w:sz w:val="32"/>
          <w:szCs w:val="32"/>
        </w:rPr>
      </w:pPr>
    </w:p>
    <w:p w14:paraId="70E8FA40">
      <w:pPr>
        <w:pStyle w:val="3"/>
        <w:rPr>
          <w:rFonts w:ascii="仿宋_GB2312" w:hAnsi="仿宋_GB2312" w:eastAsia="仿宋_GB2312" w:cs="仿宋_GB2312"/>
          <w:color w:val="0000FF"/>
          <w:sz w:val="32"/>
          <w:szCs w:val="32"/>
        </w:rPr>
      </w:pPr>
    </w:p>
    <w:p w14:paraId="0C735DB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textAlignment w:val="auto"/>
        <w:rPr>
          <w:rFonts w:ascii="仿宋_GB2312" w:hAnsi="仿宋_GB2312" w:eastAsia="仿宋_GB2312" w:cs="仿宋_GB2312"/>
          <w:color w:val="0000FF"/>
          <w:sz w:val="32"/>
          <w:szCs w:val="32"/>
        </w:rPr>
      </w:pPr>
    </w:p>
    <w:p w14:paraId="554EF41F">
      <w:pPr>
        <w:pStyle w:val="3"/>
        <w:rPr>
          <w:rFonts w:ascii="仿宋_GB2312" w:hAnsi="仿宋_GB2312" w:eastAsia="仿宋_GB2312" w:cs="仿宋_GB2312"/>
          <w:color w:val="0000FF"/>
          <w:sz w:val="32"/>
          <w:szCs w:val="32"/>
        </w:rPr>
      </w:pPr>
    </w:p>
    <w:p w14:paraId="43CE69AE">
      <w:pPr>
        <w:pStyle w:val="3"/>
        <w:rPr>
          <w:rFonts w:ascii="仿宋_GB2312" w:hAnsi="仿宋_GB2312" w:eastAsia="仿宋_GB2312" w:cs="仿宋_GB2312"/>
          <w:color w:val="0000FF"/>
          <w:sz w:val="32"/>
          <w:szCs w:val="32"/>
        </w:rPr>
      </w:pPr>
    </w:p>
    <w:p w14:paraId="0097EE91">
      <w:pPr>
        <w:pStyle w:val="3"/>
        <w:rPr>
          <w:rFonts w:hint="eastAsia"/>
          <w:color w:val="FFFFFF" w:themeColor="background1"/>
          <w:highlight w:val="none"/>
          <w:lang w:eastAsia="zh-CN"/>
          <w14:textFill>
            <w14:solidFill>
              <w14:schemeClr w14:val="bg1"/>
            </w14:solidFill>
          </w14:textFill>
        </w:rPr>
      </w:pPr>
    </w:p>
    <w:p w14:paraId="45C32821">
      <w:pPr>
        <w:pStyle w:val="3"/>
        <w:rPr>
          <w:rFonts w:hint="eastAsia"/>
          <w:color w:val="FFFFFF" w:themeColor="background1"/>
          <w:highlight w:val="none"/>
          <w:lang w:eastAsia="zh-CN"/>
          <w14:textFill>
            <w14:solidFill>
              <w14:schemeClr w14:val="bg1"/>
            </w14:solidFill>
          </w14:textFill>
        </w:rPr>
      </w:pPr>
    </w:p>
    <w:p w14:paraId="0CE66ED9">
      <w:pPr>
        <w:pStyle w:val="3"/>
        <w:rPr>
          <w:rFonts w:hint="eastAsia" w:ascii="仿宋_GB2312" w:eastAsia="仿宋_GB2312"/>
          <w:bCs/>
          <w:sz w:val="32"/>
          <w:szCs w:val="32"/>
        </w:rPr>
      </w:pPr>
    </w:p>
    <w:p w14:paraId="30E77E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210" w:leftChars="100" w:right="210" w:rightChars="100"/>
        <w:jc w:val="left"/>
        <w:textAlignment w:val="auto"/>
        <w:outlineLvl w:val="9"/>
        <w:rPr>
          <w:rFonts w:hint="eastAsia" w:ascii="仿宋_GB2312" w:eastAsia="仿宋_GB2312"/>
          <w:bCs/>
          <w:sz w:val="32"/>
          <w:szCs w:val="32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17780</wp:posOffset>
                </wp:positionV>
                <wp:extent cx="5408295" cy="635"/>
                <wp:effectExtent l="0" t="0" r="0" b="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0829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5pt;margin-top:1.4pt;height:0.05pt;width:425.85pt;z-index:251661312;mso-width-relative:page;mso-height-relative:page;" filled="f" stroked="t" coordsize="21600,21600" o:gfxdata="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DFlWxO0wAAAAUBAAAPAAAAAAAAAAEAIAAAACIAAABkcnMvZG93bnJldi54bWxQ&#10;SwECFAAUAAAACACHTuJAfiuI0vwBAAD0AwAADgAAAAAAAAABACAAAAAiAQAAZHJzL2Uyb0RvYy54&#10;bWxQSwUGAAAAAAYABgBZAQAAk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冠县人民政府办公室            2024年12月24日印发</w:t>
      </w:r>
    </w:p>
    <w:p w14:paraId="51EBEC8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right"/>
        <w:textAlignment w:val="auto"/>
        <w:outlineLvl w:val="9"/>
        <w:rPr>
          <w:rFonts w:hint="default"/>
          <w:lang w:val="en-US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-10160</wp:posOffset>
                </wp:positionH>
                <wp:positionV relativeFrom="paragraph">
                  <wp:posOffset>47625</wp:posOffset>
                </wp:positionV>
                <wp:extent cx="5408295" cy="635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0829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8pt;margin-top:3.75pt;height:0.05pt;width:425.85pt;z-index:251660288;mso-width-relative:page;mso-height-relative:page;" filled="f" stroked="t" coordsize="21600,21600" o:gfxdata="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CCSQFbUAAAABgEAAA8AAAAAAAAAAQAgAAAAIgAAAGRycy9kb3ducmV2LnhtbFBL&#10;AQIUABQAAAAIAIdO4kB+H3Di+gEAAPQDAAAOAAAAAAAAAAEAIAAAACMBAABkcnMvZTJvRG9jLnht&#10;bFBLBQYAAAAABgAGAFkBAACP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 xml:space="preserve">（共印10份）   </w:t>
      </w:r>
    </w:p>
    <w:sectPr>
      <w:footerReference r:id="rId3" w:type="default"/>
      <w:pgSz w:w="11906" w:h="16838"/>
      <w:pgMar w:top="1984" w:right="1587" w:bottom="1701" w:left="1587" w:header="851" w:footer="1417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3CA176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29EDEA88">
                          <w:pPr>
                            <w:pStyle w:val="4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210" w:leftChars="100" w:right="210" w:rightChars="100"/>
                            <w:textAlignment w:val="auto"/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M6pebnPAAAABQEAAA8A&#10;AAAAAAAAAQAgAAAAIgAAAGRycy9kb3ducmV2LnhtbFBLAQIUABQAAAAIAIdO4kCziH4F5wEAAMcD&#10;AAAOAAAAAAAAAAEAIAAAAB4BAABkcnMvZTJvRG9jLnhtbFBLBQYAAAAABgAGAFkBAAB3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9EDEA88">
                    <w:pPr>
                      <w:pStyle w:val="4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210" w:leftChars="100" w:right="210" w:rightChars="100"/>
                      <w:textAlignment w:val="auto"/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B5186C"/>
    <w:rsid w:val="000251A1"/>
    <w:rsid w:val="00041462"/>
    <w:rsid w:val="00064A76"/>
    <w:rsid w:val="00082E6D"/>
    <w:rsid w:val="000E32AD"/>
    <w:rsid w:val="000E3FEF"/>
    <w:rsid w:val="000F184E"/>
    <w:rsid w:val="00136CD1"/>
    <w:rsid w:val="00140098"/>
    <w:rsid w:val="001500F4"/>
    <w:rsid w:val="00150874"/>
    <w:rsid w:val="0015453D"/>
    <w:rsid w:val="00157DB0"/>
    <w:rsid w:val="00182EBB"/>
    <w:rsid w:val="00195676"/>
    <w:rsid w:val="00196AE9"/>
    <w:rsid w:val="00197F0C"/>
    <w:rsid w:val="001B45DA"/>
    <w:rsid w:val="001E0311"/>
    <w:rsid w:val="0020005A"/>
    <w:rsid w:val="00217123"/>
    <w:rsid w:val="00246F4D"/>
    <w:rsid w:val="00251554"/>
    <w:rsid w:val="002674CB"/>
    <w:rsid w:val="002722B3"/>
    <w:rsid w:val="002761EA"/>
    <w:rsid w:val="00297515"/>
    <w:rsid w:val="002A59CC"/>
    <w:rsid w:val="002D3077"/>
    <w:rsid w:val="002D5F40"/>
    <w:rsid w:val="002E6B06"/>
    <w:rsid w:val="00306504"/>
    <w:rsid w:val="00311CA0"/>
    <w:rsid w:val="00312AF2"/>
    <w:rsid w:val="003151DC"/>
    <w:rsid w:val="00325BAC"/>
    <w:rsid w:val="00346C5F"/>
    <w:rsid w:val="00347DC5"/>
    <w:rsid w:val="0035222C"/>
    <w:rsid w:val="003606C3"/>
    <w:rsid w:val="003642D0"/>
    <w:rsid w:val="00373218"/>
    <w:rsid w:val="003B38CE"/>
    <w:rsid w:val="003C082D"/>
    <w:rsid w:val="003C73CB"/>
    <w:rsid w:val="003D06C0"/>
    <w:rsid w:val="003E0B88"/>
    <w:rsid w:val="003E21C6"/>
    <w:rsid w:val="004067AA"/>
    <w:rsid w:val="0041352A"/>
    <w:rsid w:val="00433658"/>
    <w:rsid w:val="00437273"/>
    <w:rsid w:val="00446FF1"/>
    <w:rsid w:val="0045791B"/>
    <w:rsid w:val="00457AB7"/>
    <w:rsid w:val="00477A90"/>
    <w:rsid w:val="0048410E"/>
    <w:rsid w:val="004875B5"/>
    <w:rsid w:val="004D1161"/>
    <w:rsid w:val="004D548B"/>
    <w:rsid w:val="004F01D3"/>
    <w:rsid w:val="00535786"/>
    <w:rsid w:val="0054009A"/>
    <w:rsid w:val="00542344"/>
    <w:rsid w:val="005477AD"/>
    <w:rsid w:val="00561781"/>
    <w:rsid w:val="00571AF0"/>
    <w:rsid w:val="005A05DC"/>
    <w:rsid w:val="005C6C30"/>
    <w:rsid w:val="005E2EE1"/>
    <w:rsid w:val="005E3481"/>
    <w:rsid w:val="005E35FC"/>
    <w:rsid w:val="005F462D"/>
    <w:rsid w:val="00600B8E"/>
    <w:rsid w:val="00612AB8"/>
    <w:rsid w:val="00612B3F"/>
    <w:rsid w:val="00613909"/>
    <w:rsid w:val="00624515"/>
    <w:rsid w:val="00651E7D"/>
    <w:rsid w:val="0065652B"/>
    <w:rsid w:val="00681C05"/>
    <w:rsid w:val="00697454"/>
    <w:rsid w:val="006A6271"/>
    <w:rsid w:val="006B4133"/>
    <w:rsid w:val="006D3D86"/>
    <w:rsid w:val="006F52BF"/>
    <w:rsid w:val="00713DEF"/>
    <w:rsid w:val="007546AB"/>
    <w:rsid w:val="00755E12"/>
    <w:rsid w:val="007619BF"/>
    <w:rsid w:val="007636D1"/>
    <w:rsid w:val="00771893"/>
    <w:rsid w:val="00774455"/>
    <w:rsid w:val="007A6B70"/>
    <w:rsid w:val="007C3635"/>
    <w:rsid w:val="007D12F6"/>
    <w:rsid w:val="007E2307"/>
    <w:rsid w:val="007F4107"/>
    <w:rsid w:val="00801076"/>
    <w:rsid w:val="00817BCB"/>
    <w:rsid w:val="00825075"/>
    <w:rsid w:val="0087797B"/>
    <w:rsid w:val="0088136C"/>
    <w:rsid w:val="008A26B4"/>
    <w:rsid w:val="008B1464"/>
    <w:rsid w:val="008D0A4B"/>
    <w:rsid w:val="008E6709"/>
    <w:rsid w:val="0091798C"/>
    <w:rsid w:val="009201E8"/>
    <w:rsid w:val="0092161C"/>
    <w:rsid w:val="009357DD"/>
    <w:rsid w:val="00956428"/>
    <w:rsid w:val="00960FEC"/>
    <w:rsid w:val="009622B0"/>
    <w:rsid w:val="00990057"/>
    <w:rsid w:val="00993EDB"/>
    <w:rsid w:val="009A08B3"/>
    <w:rsid w:val="009A2528"/>
    <w:rsid w:val="009A6E34"/>
    <w:rsid w:val="009B0489"/>
    <w:rsid w:val="009B07E7"/>
    <w:rsid w:val="009C3E26"/>
    <w:rsid w:val="009C59C2"/>
    <w:rsid w:val="009F7600"/>
    <w:rsid w:val="00A04BC7"/>
    <w:rsid w:val="00A246A1"/>
    <w:rsid w:val="00A61204"/>
    <w:rsid w:val="00A65AE3"/>
    <w:rsid w:val="00A674B9"/>
    <w:rsid w:val="00A75394"/>
    <w:rsid w:val="00A95C50"/>
    <w:rsid w:val="00AA4894"/>
    <w:rsid w:val="00AA5B22"/>
    <w:rsid w:val="00AB1D14"/>
    <w:rsid w:val="00AB36A2"/>
    <w:rsid w:val="00AC65FA"/>
    <w:rsid w:val="00AD47F0"/>
    <w:rsid w:val="00AE1BC7"/>
    <w:rsid w:val="00AE46DF"/>
    <w:rsid w:val="00AF4A2C"/>
    <w:rsid w:val="00AF7433"/>
    <w:rsid w:val="00B003A3"/>
    <w:rsid w:val="00B021A6"/>
    <w:rsid w:val="00B07D9C"/>
    <w:rsid w:val="00B2490E"/>
    <w:rsid w:val="00B2543A"/>
    <w:rsid w:val="00B26954"/>
    <w:rsid w:val="00B27FA0"/>
    <w:rsid w:val="00B461A0"/>
    <w:rsid w:val="00B60CEA"/>
    <w:rsid w:val="00B85D31"/>
    <w:rsid w:val="00B95106"/>
    <w:rsid w:val="00BB6777"/>
    <w:rsid w:val="00C04FBA"/>
    <w:rsid w:val="00C14B6C"/>
    <w:rsid w:val="00C15936"/>
    <w:rsid w:val="00C269D4"/>
    <w:rsid w:val="00C451D9"/>
    <w:rsid w:val="00C538CF"/>
    <w:rsid w:val="00C572C9"/>
    <w:rsid w:val="00C60423"/>
    <w:rsid w:val="00C73AB1"/>
    <w:rsid w:val="00C84C23"/>
    <w:rsid w:val="00C96F22"/>
    <w:rsid w:val="00C974DF"/>
    <w:rsid w:val="00CB7589"/>
    <w:rsid w:val="00CC6E57"/>
    <w:rsid w:val="00CD1F54"/>
    <w:rsid w:val="00D145EF"/>
    <w:rsid w:val="00D1562F"/>
    <w:rsid w:val="00D20BF4"/>
    <w:rsid w:val="00D21366"/>
    <w:rsid w:val="00D350CB"/>
    <w:rsid w:val="00D60068"/>
    <w:rsid w:val="00D728D9"/>
    <w:rsid w:val="00D8505D"/>
    <w:rsid w:val="00DC5892"/>
    <w:rsid w:val="00DC7C1A"/>
    <w:rsid w:val="00DD2DF2"/>
    <w:rsid w:val="00DE006A"/>
    <w:rsid w:val="00DE61DC"/>
    <w:rsid w:val="00E10F86"/>
    <w:rsid w:val="00E22696"/>
    <w:rsid w:val="00E23FF2"/>
    <w:rsid w:val="00E54159"/>
    <w:rsid w:val="00E66C9B"/>
    <w:rsid w:val="00E7019F"/>
    <w:rsid w:val="00EB638B"/>
    <w:rsid w:val="00EC30BD"/>
    <w:rsid w:val="00EF66F4"/>
    <w:rsid w:val="00F24A64"/>
    <w:rsid w:val="00F27F34"/>
    <w:rsid w:val="00F46507"/>
    <w:rsid w:val="00F506AB"/>
    <w:rsid w:val="00F755ED"/>
    <w:rsid w:val="00FA2C4F"/>
    <w:rsid w:val="00FC0F98"/>
    <w:rsid w:val="00FF4C61"/>
    <w:rsid w:val="133B5F4C"/>
    <w:rsid w:val="14D404EF"/>
    <w:rsid w:val="17520CF4"/>
    <w:rsid w:val="1D6E5240"/>
    <w:rsid w:val="1D9770A6"/>
    <w:rsid w:val="1EDF864C"/>
    <w:rsid w:val="221E7789"/>
    <w:rsid w:val="23B279F7"/>
    <w:rsid w:val="27E24A33"/>
    <w:rsid w:val="28DD02EE"/>
    <w:rsid w:val="2D678F2B"/>
    <w:rsid w:val="2EFDB7B2"/>
    <w:rsid w:val="2F803232"/>
    <w:rsid w:val="2FFBF40E"/>
    <w:rsid w:val="33FFB3CE"/>
    <w:rsid w:val="35EB5DBA"/>
    <w:rsid w:val="39861B31"/>
    <w:rsid w:val="39AD0039"/>
    <w:rsid w:val="3EFC44BA"/>
    <w:rsid w:val="3F7390BB"/>
    <w:rsid w:val="469D0882"/>
    <w:rsid w:val="486E691B"/>
    <w:rsid w:val="4FA6CFE6"/>
    <w:rsid w:val="50B5186C"/>
    <w:rsid w:val="586FC9E9"/>
    <w:rsid w:val="59045A5F"/>
    <w:rsid w:val="5E29433F"/>
    <w:rsid w:val="5F751180"/>
    <w:rsid w:val="5F7FFB53"/>
    <w:rsid w:val="63BC4EF1"/>
    <w:rsid w:val="648B65B8"/>
    <w:rsid w:val="69FFA26D"/>
    <w:rsid w:val="6DDF566B"/>
    <w:rsid w:val="6E67D1FB"/>
    <w:rsid w:val="71D9346C"/>
    <w:rsid w:val="72F134C5"/>
    <w:rsid w:val="74FF6349"/>
    <w:rsid w:val="773DDCD8"/>
    <w:rsid w:val="777FCF7E"/>
    <w:rsid w:val="77EBAC22"/>
    <w:rsid w:val="79161E19"/>
    <w:rsid w:val="7ABB6EA4"/>
    <w:rsid w:val="7BC658AC"/>
    <w:rsid w:val="7BFF8E98"/>
    <w:rsid w:val="7DFDE52B"/>
    <w:rsid w:val="7E123895"/>
    <w:rsid w:val="7FAFCEEC"/>
    <w:rsid w:val="7FDB6F4E"/>
    <w:rsid w:val="7FEF54CF"/>
    <w:rsid w:val="9F7E0F37"/>
    <w:rsid w:val="AD2F3CE8"/>
    <w:rsid w:val="B71E1F92"/>
    <w:rsid w:val="BDCB50C1"/>
    <w:rsid w:val="D79F7261"/>
    <w:rsid w:val="DBDB0400"/>
    <w:rsid w:val="DEDF1D0F"/>
    <w:rsid w:val="DF7FB732"/>
    <w:rsid w:val="E7B711ED"/>
    <w:rsid w:val="EF3E8E64"/>
    <w:rsid w:val="EFDF6C59"/>
    <w:rsid w:val="F3FE85CF"/>
    <w:rsid w:val="F77762E0"/>
    <w:rsid w:val="F7B6D65D"/>
    <w:rsid w:val="F7EF5057"/>
    <w:rsid w:val="FB7FD2B4"/>
    <w:rsid w:val="FC4E6F96"/>
    <w:rsid w:val="FD765633"/>
    <w:rsid w:val="FDFE8C09"/>
    <w:rsid w:val="FFEB62FE"/>
    <w:rsid w:val="FFEF9E89"/>
    <w:rsid w:val="FFFDA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qFormat="1" w:unhideWhenUsed="0" w:uiPriority="0" w:semiHidden="0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99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spacing w:line="240" w:lineRule="auto"/>
      <w:ind w:firstLine="0" w:firstLineChars="0"/>
    </w:pPr>
    <w:rPr>
      <w:rFonts w:ascii="Calibri" w:hAnsi="Calibri" w:eastAsia="仿宋_GB2312" w:cs="Times New Roman"/>
      <w:kern w:val="2"/>
      <w:szCs w:val="22"/>
    </w:rPr>
  </w:style>
  <w:style w:type="paragraph" w:styleId="3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4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-SA"/>
    </w:rPr>
  </w:style>
  <w:style w:type="table" w:styleId="8">
    <w:name w:val="Table Grid"/>
    <w:basedOn w:val="7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4</Pages>
  <Words>684</Words>
  <Characters>705</Characters>
  <Lines>0</Lines>
  <Paragraphs>0</Paragraphs>
  <TotalTime>0</TotalTime>
  <ScaleCrop>false</ScaleCrop>
  <LinksUpToDate>false</LinksUpToDate>
  <CharactersWithSpaces>777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2018-12-03T00:14:00Z</dcterms:created>
  <dc:creator>Administrator</dc:creator>
  <cp:lastModifiedBy>cookie</cp:lastModifiedBy>
  <cp:lastPrinted>2024-12-24T02:45:00Z</cp:lastPrinted>
  <dcterms:modified xsi:type="dcterms:W3CDTF">2024-12-26T06:45:44Z</dcterms:modified>
  <dc:title>冠县人民政府</dc:title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6D3C7E5111364BC8814939C7173D7B72_13</vt:lpwstr>
  </property>
</Properties>
</file>