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BE9D81">
      <w:pPr>
        <w:pStyle w:val="5"/>
        <w:spacing w:line="600" w:lineRule="exact"/>
        <w:jc w:val="center"/>
        <w:rPr>
          <w:rFonts w:hint="eastAsia" w:ascii="仿宋_GB2312" w:eastAsia="仿宋_GB2312"/>
          <w:sz w:val="32"/>
          <w:szCs w:val="32"/>
        </w:rPr>
      </w:pPr>
    </w:p>
    <w:p w14:paraId="7DF6F56D">
      <w:pPr>
        <w:pStyle w:val="5"/>
        <w:spacing w:line="600" w:lineRule="exact"/>
        <w:jc w:val="center"/>
        <w:rPr>
          <w:rFonts w:hint="eastAsia" w:ascii="仿宋_GB2312" w:eastAsia="仿宋_GB2312"/>
          <w:sz w:val="32"/>
          <w:szCs w:val="32"/>
        </w:rPr>
      </w:pPr>
    </w:p>
    <w:p w14:paraId="6BFFE3C9">
      <w:pPr>
        <w:pStyle w:val="5"/>
        <w:spacing w:line="600" w:lineRule="exact"/>
        <w:jc w:val="center"/>
        <w:rPr>
          <w:rFonts w:hint="eastAsia" w:ascii="仿宋_GB2312" w:eastAsia="仿宋_GB2312"/>
          <w:sz w:val="32"/>
          <w:szCs w:val="32"/>
        </w:rPr>
      </w:pPr>
    </w:p>
    <w:p w14:paraId="21164179">
      <w:pPr>
        <w:pStyle w:val="5"/>
        <w:spacing w:line="600" w:lineRule="exact"/>
        <w:jc w:val="center"/>
        <w:rPr>
          <w:rFonts w:hint="eastAsia" w:ascii="仿宋_GB2312" w:eastAsia="仿宋_GB2312"/>
          <w:sz w:val="32"/>
          <w:szCs w:val="32"/>
        </w:rPr>
      </w:pPr>
    </w:p>
    <w:p w14:paraId="0455E111">
      <w:pPr>
        <w:pStyle w:val="5"/>
        <w:spacing w:line="600" w:lineRule="exact"/>
        <w:jc w:val="center"/>
        <w:rPr>
          <w:rFonts w:hint="eastAsia" w:ascii="仿宋_GB2312" w:hAnsi="宋体" w:eastAsia="仿宋_GB2312" w:cs="宋体"/>
          <w:sz w:val="32"/>
          <w:szCs w:val="32"/>
        </w:rPr>
      </w:pPr>
      <w:r>
        <w:rPr>
          <w:rFonts w:hint="eastAsia" w:ascii="仿宋_GB2312" w:eastAsia="仿宋_GB2312"/>
          <w:sz w:val="32"/>
          <w:szCs w:val="32"/>
        </w:rPr>
        <w:t>冠政办发〔202</w:t>
      </w:r>
      <w:r>
        <w:rPr>
          <w:rFonts w:hint="eastAsia" w:ascii="仿宋_GB2312" w:eastAsia="仿宋_GB2312"/>
          <w:sz w:val="32"/>
          <w:szCs w:val="32"/>
          <w:lang w:val="en-US" w:eastAsia="zh-CN"/>
        </w:rPr>
        <w:t>5</w:t>
      </w:r>
      <w:r>
        <w:rPr>
          <w:rFonts w:hint="eastAsia" w:ascii="仿宋_GB2312" w:eastAsia="仿宋_GB2312"/>
          <w:sz w:val="32"/>
          <w:szCs w:val="32"/>
        </w:rPr>
        <w:t>〕</w:t>
      </w:r>
      <w:r>
        <w:rPr>
          <w:rFonts w:hint="eastAsia" w:ascii="仿宋_GB2312" w:eastAsia="仿宋_GB2312"/>
          <w:sz w:val="32"/>
          <w:szCs w:val="32"/>
          <w:lang w:val="en-US" w:eastAsia="zh-CN"/>
        </w:rPr>
        <w:t xml:space="preserve">1 </w:t>
      </w:r>
      <w:r>
        <w:rPr>
          <w:rFonts w:hint="eastAsia" w:ascii="仿宋_GB2312" w:eastAsia="仿宋_GB2312"/>
          <w:sz w:val="32"/>
          <w:szCs w:val="32"/>
        </w:rPr>
        <w:t>号</w:t>
      </w:r>
    </w:p>
    <w:p w14:paraId="62E4BA79">
      <w:pPr>
        <w:spacing w:line="600" w:lineRule="exact"/>
        <w:jc w:val="center"/>
        <w:rPr>
          <w:rFonts w:hint="eastAsia" w:ascii="仿宋_GB2312" w:hAnsi="宋体" w:eastAsia="仿宋_GB2312" w:cs="宋体"/>
          <w:bCs/>
          <w:sz w:val="32"/>
          <w:szCs w:val="32"/>
        </w:rPr>
      </w:pPr>
    </w:p>
    <w:p w14:paraId="5930A0BC">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p>
    <w:p w14:paraId="7B7731B0">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冠县人民政府办公室</w:t>
      </w:r>
    </w:p>
    <w:p w14:paraId="3371AE64">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w:t>
      </w:r>
      <w:r>
        <w:rPr>
          <w:rFonts w:hint="eastAsia" w:ascii="方正大标宋简体" w:hAnsi="方正大标宋简体" w:eastAsia="方正大标宋简体" w:cs="方正大标宋简体"/>
          <w:sz w:val="44"/>
          <w:szCs w:val="44"/>
          <w:lang w:val="en-US" w:eastAsia="zh-CN"/>
        </w:rPr>
        <w:t>修订</w:t>
      </w:r>
      <w:r>
        <w:rPr>
          <w:rFonts w:hint="eastAsia" w:ascii="方正大标宋简体" w:hAnsi="方正大标宋简体" w:eastAsia="方正大标宋简体" w:cs="方正大标宋简体"/>
          <w:sz w:val="44"/>
          <w:szCs w:val="44"/>
        </w:rPr>
        <w:t>《冠县政府投资项目全流程监管</w:t>
      </w:r>
    </w:p>
    <w:p w14:paraId="4BAF152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规程》的通知</w:t>
      </w:r>
    </w:p>
    <w:p w14:paraId="75EEBB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70AE66A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各乡镇人民政府、街道办事处，县经济开发区管委会，县直各有关部门（单位），各县属国有企业：</w:t>
      </w:r>
    </w:p>
    <w:p w14:paraId="22D2A5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充分发挥政府投资作用，规范政府投资行为，完善政府投资项目全流程监管程序，经评估，对2023年12月28日印发的《冠县政府投资项目全流程监管规程》（冠政办发〔2023〕21号）进行了修订，经县政府同意，现印发给你们，请认真贯彻执行。</w:t>
      </w:r>
    </w:p>
    <w:p w14:paraId="6E1BDE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21DD4233">
      <w:pPr>
        <w:keepNext w:val="0"/>
        <w:keepLines w:val="0"/>
        <w:pageBreakBefore w:val="0"/>
        <w:widowControl w:val="0"/>
        <w:kinsoku/>
        <w:wordWrap/>
        <w:overflowPunct/>
        <w:topLinePunct w:val="0"/>
        <w:autoSpaceDE/>
        <w:autoSpaceDN/>
        <w:bidi w:val="0"/>
        <w:adjustRightInd/>
        <w:snapToGrid/>
        <w:spacing w:line="600" w:lineRule="exact"/>
        <w:ind w:firstLine="4640" w:firstLineChars="145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冠县人民政府办公室</w:t>
      </w:r>
    </w:p>
    <w:p w14:paraId="52D32F56">
      <w:pPr>
        <w:keepNext w:val="0"/>
        <w:keepLines w:val="0"/>
        <w:pageBreakBefore w:val="0"/>
        <w:widowControl w:val="0"/>
        <w:kinsoku/>
        <w:wordWrap/>
        <w:overflowPunct/>
        <w:topLinePunct w:val="0"/>
        <w:autoSpaceDE/>
        <w:autoSpaceDN/>
        <w:bidi w:val="0"/>
        <w:adjustRightInd/>
        <w:snapToGrid/>
        <w:spacing w:line="60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21 </w:t>
      </w:r>
      <w:r>
        <w:rPr>
          <w:rFonts w:hint="eastAsia" w:ascii="仿宋_GB2312" w:hAnsi="仿宋_GB2312" w:eastAsia="仿宋_GB2312" w:cs="仿宋_GB2312"/>
          <w:sz w:val="32"/>
          <w:szCs w:val="32"/>
        </w:rPr>
        <w:t>日</w:t>
      </w:r>
    </w:p>
    <w:p w14:paraId="4EEBA8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（此件公开发布）</w:t>
      </w:r>
    </w:p>
    <w:p w14:paraId="5BFE5392">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冠县政府投资项目全流程监管规程</w:t>
      </w:r>
    </w:p>
    <w:p w14:paraId="3E14CC34">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14:paraId="14546C1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rPr>
        <w:t xml:space="preserve"> 为充分发挥政府投资作用，规范政府投资行为，建立健全科学的政府投资项目全流程监管程序，提高政府投资效益，根据</w:t>
      </w:r>
      <w:r>
        <w:rPr>
          <w:rFonts w:hint="eastAsia" w:ascii="仿宋_GB2312" w:hAnsi="仿宋_GB2312" w:eastAsia="仿宋_GB2312" w:cs="仿宋_GB2312"/>
          <w:sz w:val="32"/>
          <w:szCs w:val="32"/>
          <w:highlight w:val="none"/>
        </w:rPr>
        <w:t>《中华人民共和国招标投标法》（以下简称《招标投标法》）、《中华人民共和国政府采购法》（以下简称《政府采购法》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FF"/>
          <w:sz w:val="32"/>
          <w:szCs w:val="32"/>
          <w:highlight w:val="none"/>
          <w:lang w:eastAsia="zh-CN"/>
        </w:rPr>
        <w:t>、</w:t>
      </w:r>
      <w:r>
        <w:rPr>
          <w:rFonts w:hint="eastAsia" w:ascii="仿宋_GB2312" w:hAnsi="仿宋_GB2312" w:eastAsia="仿宋_GB2312" w:cs="仿宋_GB2312"/>
          <w:sz w:val="32"/>
          <w:szCs w:val="32"/>
        </w:rPr>
        <w:t>《政府投资条例》（国务院712号）、《山东省政府投资管理办法》（鲁政字〔2020〕232号）等有关法律、法规规定，结合我县实际，制定本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w:t>
      </w:r>
    </w:p>
    <w:p w14:paraId="582116E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所称</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政府投资项目</w:t>
      </w:r>
      <w:r>
        <w:rPr>
          <w:rFonts w:hint="eastAsia" w:ascii="仿宋_GB2312" w:hAnsi="仿宋_GB2312" w:eastAsia="仿宋_GB2312" w:cs="仿宋_GB2312"/>
          <w:sz w:val="32"/>
          <w:szCs w:val="32"/>
        </w:rPr>
        <w:t>（以下简称项目），是指县级部门单位及乡镇（街道）使用预算安排的财政性资金，采用直接投资、资本金注入等方式进行的固定资产投资项目，包括新建、扩建、改建和技术改造等。</w:t>
      </w:r>
    </w:p>
    <w:p w14:paraId="09EEF36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政府投资资金主要用于市场不能有效配置资源的公共领域项目，以非经营性项目为主。主要包括：</w:t>
      </w:r>
    </w:p>
    <w:p w14:paraId="5BA9DA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（一）农业农村、水利、能源、交通、城乡公用设施、人防工程等基础性项目；</w:t>
      </w:r>
    </w:p>
    <w:p w14:paraId="55792A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（二）教育、文化、卫生、体育、社会保障、生态建设、环境保护、资源节约、防灾减灾等公益性项目；</w:t>
      </w:r>
    </w:p>
    <w:p w14:paraId="2554F7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（三）科技进步、高新技术、现代服务业等国家和省市县重点扶持的产业发展项目；</w:t>
      </w:r>
    </w:p>
    <w:p w14:paraId="495242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（四）政府公共服务设施类项目；</w:t>
      </w:r>
    </w:p>
    <w:p w14:paraId="06C06A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（五）保障性住房、安置房和棚户区改造项目；</w:t>
      </w:r>
    </w:p>
    <w:p w14:paraId="4C8024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（六）电子政务和信息化类项目；</w:t>
      </w:r>
    </w:p>
    <w:p w14:paraId="3DB1B1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（七）其他促进加快地区发展的重要项目。</w:t>
      </w:r>
    </w:p>
    <w:p w14:paraId="63D368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县发展和改革局（以下简称县发改局）为政府投资项目的综合管理部门，负责政府投资项目规划和计划编制、组织实施、协调监督等综合管理工作。</w:t>
      </w:r>
    </w:p>
    <w:p w14:paraId="7235CE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县财政局负责政府投资项目资金财务活动的监督管理。</w:t>
      </w:r>
    </w:p>
    <w:p w14:paraId="0A9E48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县审计局负责政府投资项目预算执行情况和决算、资金管理使用和建设运行情况的审计监督。</w:t>
      </w:r>
    </w:p>
    <w:p w14:paraId="2B38176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县住房和城乡建设局、县自然资源和规划局、聊城市生态环境局冠县分局等其他有关部门依照有关法律法规和各自的职责分工，履行相应的政府投资管理职责，并对政府投资项目进行监督管理。</w:t>
      </w:r>
    </w:p>
    <w:p w14:paraId="50A31B1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第五条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项目建设单位（以下简称建设单位）是项目建设管理的第一责任人，应当根据项目特征、管理组织架构等情况结合项目管理有关规定，有针对性地建立健全项目管理制度，</w:t>
      </w:r>
      <w:r>
        <w:rPr>
          <w:rFonts w:hint="eastAsia" w:ascii="仿宋_GB2312" w:hAnsi="仿宋_GB2312" w:eastAsia="仿宋_GB2312" w:cs="仿宋_GB2312"/>
          <w:sz w:val="32"/>
          <w:szCs w:val="32"/>
        </w:rPr>
        <w:t>充分利用社会专业技术力量，严格按照基本建设程序、政府投资项目管理等规定做好项目建设组织实施管理工作，不断提高项目管理水平。</w:t>
      </w:r>
    </w:p>
    <w:p w14:paraId="704A614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第六条</w:t>
      </w:r>
      <w:r>
        <w:rPr>
          <w:rFonts w:hint="eastAsia" w:ascii="仿宋_GB2312" w:hAnsi="仿宋_GB2312" w:eastAsia="仿宋_GB2312" w:cs="仿宋_GB2312"/>
          <w:sz w:val="32"/>
          <w:szCs w:val="32"/>
        </w:rPr>
        <w:t xml:space="preserve"> 政府投资管理应当遵循项目生成要谋划、实施必计划、计划必保障、全程有考核的原则，严格执行项目建设必要性、可行性、科学性、规范性要求，注重绩效和公开透明，强化年度投资计划、批复初步设计和概算的约束性，进行精细化管理，实行全流程造价动态管控，加强全流程监管，确保项目建设提速提质增效并及时投入使用。</w:t>
      </w:r>
    </w:p>
    <w:p w14:paraId="108494A9">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第二章  项目决策监管</w:t>
      </w:r>
    </w:p>
    <w:p w14:paraId="33ED194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第七条</w:t>
      </w:r>
      <w:r>
        <w:rPr>
          <w:rFonts w:hint="eastAsia" w:ascii="仿宋_GB2312" w:hAnsi="仿宋_GB2312" w:eastAsia="仿宋_GB2312" w:cs="仿宋_GB2312"/>
          <w:sz w:val="32"/>
          <w:szCs w:val="32"/>
        </w:rPr>
        <w:t xml:space="preserve"> 建立健全</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政府投资项目储备库</w:t>
      </w:r>
      <w:r>
        <w:rPr>
          <w:rFonts w:hint="eastAsia" w:ascii="仿宋_GB2312" w:hAnsi="仿宋_GB2312" w:eastAsia="仿宋_GB2312" w:cs="仿宋_GB2312"/>
          <w:sz w:val="32"/>
          <w:szCs w:val="32"/>
        </w:rPr>
        <w:t>，储备拟在近三年内开工建设的项目，实行谋划申报一批，调整补充一批、建设出库一批的滚动接续管理机制。</w:t>
      </w:r>
    </w:p>
    <w:p w14:paraId="25168A2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第八条</w:t>
      </w:r>
      <w:r>
        <w:rPr>
          <w:rFonts w:hint="eastAsia" w:ascii="仿宋_GB2312" w:hAnsi="仿宋_GB2312" w:eastAsia="仿宋_GB2312" w:cs="仿宋_GB2312"/>
          <w:sz w:val="32"/>
          <w:szCs w:val="32"/>
        </w:rPr>
        <w:t xml:space="preserve"> 项目谋划应当常态化开展，要做得早、研究得深实、考虑得全面。各行业主管部门和建设单位每年应当选择一批拟在近三年内开工建设的项目开展前期工作，必要时可进行工程咨询，形成一批建设条件相对成熟的储备项目。</w:t>
      </w:r>
    </w:p>
    <w:p w14:paraId="28FEAE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项目谋划过</w:t>
      </w:r>
      <w:r>
        <w:rPr>
          <w:rFonts w:hint="eastAsia" w:ascii="仿宋_GB2312" w:hAnsi="仿宋_GB2312" w:eastAsia="仿宋_GB2312" w:cs="仿宋_GB2312"/>
          <w:sz w:val="32"/>
          <w:szCs w:val="32"/>
        </w:rPr>
        <w:t>程中应当着重就项目建设的必要性，项目投资方向与范围</w:t>
      </w:r>
      <w:r>
        <w:rPr>
          <w:rFonts w:hint="eastAsia" w:ascii="仿宋_GB2312" w:hAnsi="仿宋_GB2312" w:eastAsia="仿宋_GB2312" w:cs="仿宋_GB2312"/>
          <w:spacing w:val="-6"/>
          <w:sz w:val="32"/>
          <w:szCs w:val="32"/>
        </w:rPr>
        <w:t>是否符合国家和省市有关规定；项目选址的合理性，土地、征迁等要素能否得到保障与解决；项目建设规模的经济性，进行规模、成本与效益比较分析；资金的保障性，资金来源是否明确，能否得到落实等方面进行充分的分析研判</w:t>
      </w:r>
      <w:r>
        <w:rPr>
          <w:rFonts w:hint="eastAsia" w:ascii="仿宋_GB2312" w:hAnsi="仿宋_GB2312" w:eastAsia="仿宋_GB2312" w:cs="仿宋_GB2312"/>
          <w:sz w:val="32"/>
          <w:szCs w:val="32"/>
        </w:rPr>
        <w:t>、评估论证。</w:t>
      </w:r>
    </w:p>
    <w:p w14:paraId="510AC40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第九条</w:t>
      </w:r>
      <w:r>
        <w:rPr>
          <w:rFonts w:hint="eastAsia" w:ascii="仿宋_GB2312" w:hAnsi="仿宋_GB2312" w:eastAsia="仿宋_GB2312" w:cs="仿宋_GB2312"/>
          <w:sz w:val="32"/>
          <w:szCs w:val="32"/>
        </w:rPr>
        <w:t xml:space="preserve"> 前期工作。</w:t>
      </w:r>
    </w:p>
    <w:p w14:paraId="506DC9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所有政府投资项目必须按规定进行审批，填报《政府投资项目决策审批表》（附表2）；项目总投资300万元（含）以上的项目必须经县政府常务会研究批准后审批，填报《政府投资项目决策审批表》（附表2）。</w:t>
      </w:r>
    </w:p>
    <w:p w14:paraId="3E2E4C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（二）建设单位依法选定第三方机构编制可行性研究报告（含初步设计），确定投资估算、项目实施方案及资金来源，按相关规定进行事前绩效评估且由主管部门审核后上报县政府常务会。</w:t>
      </w:r>
    </w:p>
    <w:p w14:paraId="24B3450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政府投资项目上报县政府常务会采取集中上会方式。原则上，对拟上会的项目每月在第一次县政府常务会上集中研究一次，由县财政部门统一汇报。会前建设单位将拟上会的项目经主管部门审核通过后，于上月20日前将可行性研究报告、实施方案、事前绩效评估报告等资料上报县财政部门相关归口科室；准备上会期间，建设单位应积极向分管县长汇报拟上会项目基本情况。各建设单位要把握好时间节点，做好充分准备，确保如期上会。上会时，要求各相关部门单位项目负责人参加。</w:t>
      </w:r>
    </w:p>
    <w:p w14:paraId="300368FE">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确需单独上会的另议。</w:t>
      </w:r>
    </w:p>
    <w:p w14:paraId="36E5C5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）县政府常务会审议通过后，列入政府投资项目储备库，作为项目决策和编制年度政府投资项目计划的重要依据。未列入储备库的项目原则上不予审批、不予安排预算资金。</w:t>
      </w:r>
    </w:p>
    <w:p w14:paraId="29D14C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项目列入计划后，建设单位应及时办理用地预审与选址意见、能评等前期手续，连同编制的可行性研究报告、初步设计概算等资料报县发改局或其他有关部门审批。审批部门一般应当委托有资质的第三方机构、具有相关职能的单位或专家进行评估评审，评估评审结果作为项目批复的重要依据。</w:t>
      </w:r>
    </w:p>
    <w:p w14:paraId="0D3094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县自然资源和规划局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根据自然资源领域相关法律法规和国土空间规划提出项目初审意见，对项目用地合法合规性进行审查；</w:t>
      </w:r>
      <w:r>
        <w:rPr>
          <w:rFonts w:hint="eastAsia" w:ascii="仿宋_GB2312" w:hAnsi="仿宋_GB2312" w:eastAsia="仿宋_GB2312" w:cs="仿宋_GB2312"/>
          <w:color w:val="auto"/>
          <w:sz w:val="32"/>
          <w:szCs w:val="32"/>
        </w:rPr>
        <w:t>县住房和城乡建设局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sz w:val="32"/>
          <w:szCs w:val="32"/>
        </w:rPr>
        <w:t>聊城市生态环境局冠县分局、县水利局等要素保障部门按照各自职责提出项目初审意见，初审意见分为“支持”“有条件支持”“不支持”等，并相应填写具体理由，作为项目审批时的参考。</w:t>
      </w:r>
    </w:p>
    <w:p w14:paraId="645AA8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FF"/>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项目自批准之日起，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所有建设项目取得立项、土地手续后，建设单位需将建设工程设计方案报送至县国土空间规划委员会审查，审查通过后方可办理建设工程规划许可手续；</w:t>
      </w:r>
      <w:r>
        <w:rPr>
          <w:rFonts w:hint="eastAsia" w:ascii="仿宋_GB2312" w:hAnsi="仿宋_GB2312" w:eastAsia="仿宋_GB2312" w:cs="仿宋_GB2312"/>
          <w:color w:val="000000" w:themeColor="text1"/>
          <w:sz w:val="32"/>
          <w:szCs w:val="32"/>
          <w14:textFill>
            <w14:solidFill>
              <w14:schemeClr w14:val="tx1"/>
            </w14:solidFill>
          </w14:textFill>
        </w:rPr>
        <w:t>初步设计及概算审批前，根据县国土空间规划委员会意见由建设单位组织规划设计机构对工程设计方案进行优化改进，确定施工图纸、工程量清单等有关资料；设计单位应当严格按照有关规范，遵循估算控制概算的原则进行限额设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原则上应在3个月内完成前期工作并报送审批。</w:t>
      </w:r>
    </w:p>
    <w:p w14:paraId="267493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bCs/>
          <w:sz w:val="32"/>
          <w:szCs w:val="32"/>
        </w:rPr>
        <w:t>第十条</w:t>
      </w:r>
      <w:r>
        <w:rPr>
          <w:rFonts w:hint="eastAsia" w:ascii="仿宋_GB2312" w:hAnsi="仿宋_GB2312" w:eastAsia="仿宋_GB2312" w:cs="仿宋_GB2312"/>
          <w:sz w:val="32"/>
          <w:szCs w:val="32"/>
        </w:rPr>
        <w:t xml:space="preserve"> 造价评审。建设单位应当根据项目特点、造价机构专业领域和信用评价结果，从山东省政府采购网上商城（或山东政务服务中介超市）择</w:t>
      </w:r>
      <w:r>
        <w:rPr>
          <w:rFonts w:hint="eastAsia" w:ascii="仿宋_GB2312" w:hAnsi="仿宋_GB2312" w:eastAsia="仿宋_GB2312" w:cs="仿宋_GB2312"/>
          <w:color w:val="auto"/>
          <w:sz w:val="32"/>
          <w:szCs w:val="32"/>
        </w:rPr>
        <w:t>优</w:t>
      </w:r>
      <w:r>
        <w:rPr>
          <w:rFonts w:hint="eastAsia" w:ascii="仿宋_GB2312" w:hAnsi="仿宋_GB2312" w:eastAsia="仿宋_GB2312" w:cs="仿宋_GB2312"/>
          <w:color w:val="auto"/>
          <w:sz w:val="32"/>
          <w:szCs w:val="32"/>
          <w:lang w:val="en-US" w:eastAsia="zh-CN"/>
        </w:rPr>
        <w:t>购买</w:t>
      </w:r>
      <w:r>
        <w:rPr>
          <w:rFonts w:hint="eastAsia" w:ascii="仿宋_GB2312" w:hAnsi="仿宋_GB2312" w:eastAsia="仿宋_GB2312" w:cs="仿宋_GB2312"/>
          <w:color w:val="auto"/>
          <w:sz w:val="32"/>
          <w:szCs w:val="32"/>
        </w:rPr>
        <w:t>造价</w:t>
      </w:r>
      <w:r>
        <w:rPr>
          <w:rFonts w:hint="eastAsia" w:ascii="仿宋_GB2312" w:hAnsi="仿宋_GB2312" w:eastAsia="仿宋_GB2312" w:cs="仿宋_GB2312"/>
          <w:color w:val="auto"/>
          <w:sz w:val="32"/>
          <w:szCs w:val="32"/>
          <w:lang w:val="en-US" w:eastAsia="zh-CN"/>
        </w:rPr>
        <w:t>咨询服务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highlight w:val="none"/>
        </w:rPr>
        <w:t>选取时</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1000万元以上项目</w:t>
      </w:r>
      <w:r>
        <w:rPr>
          <w:rFonts w:hint="eastAsia" w:ascii="仿宋_GB2312" w:hAnsi="仿宋_GB2312" w:eastAsia="仿宋_GB2312" w:cs="仿宋_GB2312"/>
          <w:color w:val="auto"/>
          <w:sz w:val="32"/>
          <w:szCs w:val="32"/>
          <w:highlight w:val="none"/>
        </w:rPr>
        <w:t>应邀请主管部门、县财政局和县人大代表、县政协委员全程监督，选取过程必须公开、公平、公正，全程录音录像，永久留存。原则上投资2000</w:t>
      </w:r>
      <w:r>
        <w:rPr>
          <w:rFonts w:hint="eastAsia" w:ascii="仿宋_GB2312" w:hAnsi="仿宋_GB2312" w:eastAsia="仿宋_GB2312" w:cs="仿宋_GB2312"/>
          <w:sz w:val="32"/>
          <w:szCs w:val="32"/>
          <w:highlight w:val="none"/>
        </w:rPr>
        <w:t>万元以上项目由县级分管领导组织公开选取，5000万元以上项目报请县委、县政府主要领导或委托有关领导组织选取。在选取造价机构时，应根据项目情况确定选取造价机构数量，1000万元以下的项目选取1家机构编制，1000万元（含）及以上项目选取2家机构编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从中确定合理造价金额。</w:t>
      </w:r>
    </w:p>
    <w:p w14:paraId="6C90C33D">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第三章  项目计划备案</w:t>
      </w:r>
    </w:p>
    <w:p w14:paraId="5C09AB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第十一条</w:t>
      </w:r>
      <w:r>
        <w:rPr>
          <w:rFonts w:hint="eastAsia" w:ascii="仿宋_GB2312" w:hAnsi="仿宋_GB2312" w:eastAsia="仿宋_GB2312" w:cs="仿宋_GB2312"/>
          <w:sz w:val="32"/>
          <w:szCs w:val="32"/>
        </w:rPr>
        <w:t xml:space="preserve"> 县发改局应当结合经济社会发展需求、项目前期工作进展、财政年度预算规模及资金来源安排等方面情况，遵循量入为出、综合平衡的原则，按照实施必计划、计划必保障要求，统筹编制年度政府投资计划，并与财政年度政府投资预算安排充分衔接。</w:t>
      </w:r>
    </w:p>
    <w:p w14:paraId="7E1F78D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第十二条</w:t>
      </w:r>
      <w:r>
        <w:rPr>
          <w:rFonts w:hint="eastAsia" w:ascii="仿宋_GB2312" w:hAnsi="仿宋_GB2312" w:eastAsia="仿宋_GB2312" w:cs="仿宋_GB2312"/>
          <w:sz w:val="32"/>
          <w:szCs w:val="32"/>
        </w:rPr>
        <w:t xml:space="preserve"> 各行业主管部门和建设单位应当从项目储备库中选取成熟项目申报列入下一年度政府投资项目计划，拟建的新开工类项目应当已经完成或年度内能够完成项目前期工作，取得建设工程规划许可证和建设工程施工许可证等手续具备开工条件。</w:t>
      </w:r>
    </w:p>
    <w:p w14:paraId="65D94C0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第十三条</w:t>
      </w:r>
      <w:r>
        <w:rPr>
          <w:rFonts w:hint="eastAsia" w:ascii="仿宋_GB2312" w:hAnsi="仿宋_GB2312" w:eastAsia="仿宋_GB2312" w:cs="仿宋_GB2312"/>
          <w:sz w:val="32"/>
          <w:szCs w:val="32"/>
        </w:rPr>
        <w:t xml:space="preserve"> 年度政府投资计划应当明确项目名称、项目选址、建设内容及规模、总投资及资金来源、建设周期、年度投资额和资金来源、年度进度目标等事项。计划一经批准，必须严格执行，任何单位和个人不得擅自变更。未列入年度政府投资计划的新建项目原则上不得招标和开工建设。</w:t>
      </w:r>
    </w:p>
    <w:p w14:paraId="535844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殊原因确需调整的，由县发改局会同县财政局、行业主管部门制定调整方案，报县政府批准后对计划适当进行调整。为应对自然灾害、事故灾难、公共卫生事件、社会安全事件等突发事件需要紧急建设的项目，可先予实施，并在实施过程中报县政府同意后纳入计划。</w:t>
      </w:r>
    </w:p>
    <w:p w14:paraId="30CBFDB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第十四条</w:t>
      </w:r>
      <w:r>
        <w:rPr>
          <w:rFonts w:hint="eastAsia" w:ascii="仿宋_GB2312" w:hAnsi="仿宋_GB2312" w:eastAsia="仿宋_GB2312" w:cs="仿宋_GB2312"/>
          <w:sz w:val="32"/>
          <w:szCs w:val="32"/>
        </w:rPr>
        <w:t xml:space="preserve"> 建设单位应当将列入年度政府投资计划项目及时上报行业主管部门，主管部门对建设单位提报的项目立项文件依据、需求报告、可行性研究报告、事前绩效评估报告、项目绩效目标、造价预算等有关资料进行审核，对“予以支持”的项目纳入部门项目库。</w:t>
      </w:r>
    </w:p>
    <w:p w14:paraId="640E3CD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第十五条</w:t>
      </w:r>
      <w:r>
        <w:rPr>
          <w:rFonts w:hint="eastAsia" w:ascii="仿宋_GB2312" w:hAnsi="仿宋_GB2312" w:eastAsia="仿宋_GB2312" w:cs="仿宋_GB2312"/>
          <w:sz w:val="32"/>
          <w:szCs w:val="32"/>
        </w:rPr>
        <w:t xml:space="preserve"> 预算评审。县财政局依据项目建设单位提供的设计图纸、事前绩效评估、工程量清单等资料审核预算值，主要审核项目投入经济性、实施方案的必要性、可行性以及绩效目标合理性等重点内容，必要时可委托第三方机构评审，确定项目预算评审值。预算评审结果作为安排预算的重要参考。预算评审应于7个工作日内完成。</w:t>
      </w:r>
    </w:p>
    <w:p w14:paraId="6D1327BC">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第十六条</w:t>
      </w:r>
      <w:r>
        <w:rPr>
          <w:rFonts w:hint="eastAsia" w:ascii="仿宋_GB2312" w:hAnsi="仿宋_GB2312" w:eastAsia="仿宋_GB2312" w:cs="仿宋_GB2312"/>
          <w:sz w:val="32"/>
          <w:szCs w:val="32"/>
        </w:rPr>
        <w:t xml:space="preserve"> 预算编审。建设单位应将政府投资项目纳入预算编报范围，做到应编尽编，通过“预算管理一体化系统”与部门预算、项目绩效目标同步编报、同步审核、同步批复，坚持先有预算后采购，严禁超预算、无预算开展采购活动。</w:t>
      </w:r>
    </w:p>
    <w:p w14:paraId="4853EC1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600" w:lineRule="exact"/>
        <w:ind w:leftChars="0" w:firstLine="2880" w:firstLineChars="9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第四章  项目履约监管</w:t>
      </w:r>
    </w:p>
    <w:p w14:paraId="6CEC527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left"/>
        <w:textAlignment w:val="auto"/>
        <w:rPr>
          <w:rStyle w:val="12"/>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i w:val="0"/>
          <w:iCs w:val="0"/>
          <w:caps w:val="0"/>
          <w:color w:val="000000" w:themeColor="text1"/>
          <w:spacing w:val="0"/>
          <w:sz w:val="32"/>
          <w:szCs w:val="32"/>
          <w:highlight w:val="none"/>
          <w14:textFill>
            <w14:solidFill>
              <w14:schemeClr w14:val="tx1"/>
            </w14:solidFill>
          </w14:textFill>
        </w:rPr>
        <w:t> </w:t>
      </w:r>
      <w:r>
        <w:rPr>
          <w:rFonts w:hint="eastAsia" w:ascii="仿宋" w:hAnsi="仿宋" w:eastAsia="仿宋" w:cs="仿宋"/>
          <w:i w:val="0"/>
          <w:iCs w:val="0"/>
          <w:caps w:val="0"/>
          <w:color w:val="auto"/>
          <w:spacing w:val="0"/>
          <w:sz w:val="32"/>
          <w:szCs w:val="32"/>
          <w:highlight w:val="none"/>
        </w:rPr>
        <w:t> </w:t>
      </w:r>
      <w:r>
        <w:rPr>
          <w:rFonts w:hint="eastAsia" w:ascii="仿宋_GB2312" w:hAnsi="仿宋_GB2312" w:eastAsia="仿宋_GB2312" w:cs="仿宋_GB2312"/>
          <w:b/>
          <w:bCs/>
          <w:i w:val="0"/>
          <w:iCs w:val="0"/>
          <w:caps w:val="0"/>
          <w:color w:val="auto"/>
          <w:spacing w:val="0"/>
          <w:sz w:val="32"/>
          <w:szCs w:val="32"/>
          <w:highlight w:val="none"/>
          <w:lang w:val="en-US" w:eastAsia="zh-CN"/>
        </w:rPr>
        <w:t xml:space="preserve">第十七条 </w:t>
      </w:r>
      <w:r>
        <w:rPr>
          <w:rFonts w:hint="eastAsia" w:ascii="仿宋" w:hAnsi="仿宋" w:eastAsia="仿宋" w:cs="仿宋"/>
          <w:i w:val="0"/>
          <w:iCs w:val="0"/>
          <w:caps w:val="0"/>
          <w:color w:val="000000" w:themeColor="text1"/>
          <w:spacing w:val="0"/>
          <w:sz w:val="32"/>
          <w:szCs w:val="32"/>
          <w:highlight w:val="none"/>
          <w:lang w:val="en-US" w:eastAsia="zh-CN"/>
          <w14:textFill>
            <w14:solidFill>
              <w14:schemeClr w14:val="tx1"/>
            </w14:solidFill>
          </w14:textFill>
        </w:rPr>
        <w:t xml:space="preserve"> </w:t>
      </w:r>
      <w:r>
        <w:rPr>
          <w:rFonts w:hint="eastAsia" w:ascii="仿宋" w:hAnsi="仿宋" w:eastAsia="仿宋" w:cs="仿宋"/>
          <w:i w:val="0"/>
          <w:iCs w:val="0"/>
          <w:caps w:val="0"/>
          <w:color w:val="000000" w:themeColor="text1"/>
          <w:spacing w:val="0"/>
          <w:sz w:val="32"/>
          <w:szCs w:val="32"/>
          <w:highlight w:val="none"/>
          <w14:textFill>
            <w14:solidFill>
              <w14:schemeClr w14:val="tx1"/>
            </w14:solidFill>
          </w14:textFill>
        </w:rPr>
        <w:t>政府投资项目</w:t>
      </w:r>
      <w:r>
        <w:rPr>
          <w:rFonts w:hint="eastAsia" w:ascii="仿宋" w:hAnsi="仿宋" w:eastAsia="仿宋" w:cs="仿宋"/>
          <w:i w:val="0"/>
          <w:iCs w:val="0"/>
          <w:caps w:val="0"/>
          <w:color w:val="000000" w:themeColor="text1"/>
          <w:spacing w:val="0"/>
          <w:sz w:val="32"/>
          <w:szCs w:val="32"/>
          <w:highlight w:val="none"/>
          <w:lang w:val="en-US" w:eastAsia="zh-CN"/>
          <w14:textFill>
            <w14:solidFill>
              <w14:schemeClr w14:val="tx1"/>
            </w14:solidFill>
          </w14:textFill>
        </w:rPr>
        <w:t>应当严格</w:t>
      </w:r>
      <w:r>
        <w:rPr>
          <w:rStyle w:val="12"/>
          <w:rFonts w:hint="eastAsia" w:ascii="仿宋" w:hAnsi="仿宋" w:eastAsia="仿宋" w:cs="仿宋"/>
          <w:b w:val="0"/>
          <w:bCs w:val="0"/>
          <w:i w:val="0"/>
          <w:iCs w:val="0"/>
          <w:caps w:val="0"/>
          <w:color w:val="000000" w:themeColor="text1"/>
          <w:spacing w:val="0"/>
          <w:sz w:val="32"/>
          <w:szCs w:val="32"/>
          <w:highlight w:val="none"/>
          <w:shd w:val="clear" w:fill="FFFFFF"/>
          <w14:textFill>
            <w14:solidFill>
              <w14:schemeClr w14:val="tx1"/>
            </w14:solidFill>
          </w14:textFill>
        </w:rPr>
        <w:t>落</w:t>
      </w:r>
      <w:r>
        <w:rPr>
          <w:rStyle w:val="12"/>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实项目法人责任制</w:t>
      </w:r>
      <w:r>
        <w:rPr>
          <w:rStyle w:val="12"/>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i w:val="0"/>
          <w:iCs w:val="0"/>
          <w:caps w:val="0"/>
          <w:color w:val="000000" w:themeColor="text1"/>
          <w:spacing w:val="0"/>
          <w:sz w:val="32"/>
          <w:szCs w:val="32"/>
          <w:shd w:val="clear" w:fill="FFFFFF"/>
          <w14:textFill>
            <w14:solidFill>
              <w14:schemeClr w14:val="tx1"/>
            </w14:solidFill>
          </w14:textFill>
        </w:rPr>
        <w:t>招标投标制</w:t>
      </w:r>
      <w:r>
        <w:rPr>
          <w:rFonts w:hint="eastAsia" w:ascii="仿宋" w:hAnsi="仿宋" w:eastAsia="仿宋" w:cs="仿宋"/>
          <w:i w:val="0"/>
          <w:iCs w:val="0"/>
          <w:caps w:val="0"/>
          <w:color w:val="000000" w:themeColor="text1"/>
          <w:spacing w:val="0"/>
          <w:sz w:val="32"/>
          <w:szCs w:val="32"/>
          <w:shd w:val="clear" w:fill="FFFFFF"/>
          <w:lang w:eastAsia="zh-CN"/>
          <w14:textFill>
            <w14:solidFill>
              <w14:schemeClr w14:val="tx1"/>
            </w14:solidFill>
          </w14:textFill>
        </w:rPr>
        <w:t>、</w:t>
      </w:r>
      <w:r>
        <w:rPr>
          <w:rStyle w:val="12"/>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工程监理制</w:t>
      </w:r>
      <w:r>
        <w:rPr>
          <w:rStyle w:val="12"/>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 w:hAnsi="仿宋" w:eastAsia="仿宋" w:cs="仿宋"/>
          <w:b w:val="0"/>
          <w:bCs w:val="0"/>
          <w:i w:val="0"/>
          <w:iCs w:val="0"/>
          <w:caps w:val="0"/>
          <w:color w:val="000000" w:themeColor="text1"/>
          <w:spacing w:val="0"/>
          <w:sz w:val="32"/>
          <w:szCs w:val="32"/>
          <w:shd w:val="clear" w:fill="FFFFFF"/>
          <w14:textFill>
            <w14:solidFill>
              <w14:schemeClr w14:val="tx1"/>
            </w14:solidFill>
          </w14:textFill>
        </w:rPr>
        <w:t>合同管理制</w:t>
      </w:r>
      <w:r>
        <w:rPr>
          <w:rStyle w:val="12"/>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t>。</w:t>
      </w:r>
    </w:p>
    <w:p w14:paraId="1D11415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政府投资项目建设工程以及与工程建设有关的货物、服务，采用招标方式采购的，适用《招标投标法》及其实施条例；采用其他方式采购的，适用《政府采购法》及其实施条例。</w:t>
      </w:r>
    </w:p>
    <w:p w14:paraId="377B56F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left"/>
        <w:textAlignment w:val="auto"/>
        <w:rPr>
          <w:rStyle w:val="12"/>
          <w:rFonts w:hint="eastAsia" w:ascii="仿宋" w:hAnsi="仿宋" w:eastAsia="仿宋" w:cs="仿宋"/>
          <w:b w:val="0"/>
          <w:bCs w:val="0"/>
          <w:i w:val="0"/>
          <w:iCs w:val="0"/>
          <w:caps w:val="0"/>
          <w:color w:val="000000" w:themeColor="text1"/>
          <w:spacing w:val="0"/>
          <w:sz w:val="32"/>
          <w:szCs w:val="32"/>
          <w:shd w:val="clear" w:fill="FFFFFF"/>
          <w:lang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政府投资项目建设工程以及与工程建设有关的货物、服务，应当执行政府采购政策。</w:t>
      </w:r>
    </w:p>
    <w:p w14:paraId="0063CF3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项目履约过程中，建设单位要切实履行主体责任，对项目进展情况实时监管，相关行政监督部门要加强现场监管。</w:t>
      </w:r>
    </w:p>
    <w:p w14:paraId="6E9600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 w:hAnsi="仿宋" w:eastAsia="仿宋" w:cs="仿宋"/>
          <w:i w:val="0"/>
          <w:iCs w:val="0"/>
          <w:caps w:val="0"/>
          <w:color w:val="000000" w:themeColor="text1"/>
          <w:spacing w:val="0"/>
          <w:sz w:val="32"/>
          <w:szCs w:val="32"/>
          <w:highlight w:val="none"/>
          <w:lang w:val="en-US" w:eastAsia="zh-CN"/>
          <w14:textFill>
            <w14:solidFill>
              <w14:schemeClr w14:val="tx1"/>
            </w14:solidFill>
          </w14:textFill>
        </w:rPr>
        <w:t>政府投资</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资金应当遵循专款专用管理原则，严格按照批准的项目预算执行，</w:t>
      </w:r>
      <w:r>
        <w:rPr>
          <w:rFonts w:hint="eastAsia" w:ascii="仿宋" w:hAnsi="仿宋" w:eastAsia="仿宋" w:cs="仿宋"/>
          <w:i w:val="0"/>
          <w:iCs w:val="0"/>
          <w:caps w:val="0"/>
          <w:color w:val="000000" w:themeColor="text1"/>
          <w:spacing w:val="0"/>
          <w:sz w:val="32"/>
          <w:szCs w:val="32"/>
          <w:shd w:val="clear" w:color="auto" w:fill="FFFFFF"/>
          <w:lang w:val="en-US" w:eastAsia="zh-CN"/>
          <w14:textFill>
            <w14:solidFill>
              <w14:schemeClr w14:val="tx1"/>
            </w14:solidFill>
          </w14:textFill>
        </w:rPr>
        <w:t>实行全过程预算绩效管理，加强绩效跟踪和结果应用，</w:t>
      </w:r>
      <w:r>
        <w:rPr>
          <w:rFonts w:hint="eastAsia" w:ascii="仿宋" w:hAnsi="仿宋" w:eastAsia="仿宋" w:cs="仿宋"/>
          <w:i w:val="0"/>
          <w:iCs w:val="0"/>
          <w:caps w:val="0"/>
          <w:color w:val="000000" w:themeColor="text1"/>
          <w:spacing w:val="0"/>
          <w:sz w:val="32"/>
          <w:szCs w:val="32"/>
          <w:shd w:val="clear" w:color="auto" w:fill="FFFFFF"/>
          <w14:textFill>
            <w14:solidFill>
              <w14:schemeClr w14:val="tx1"/>
            </w14:solidFill>
          </w14:textFill>
        </w:rPr>
        <w:t>不得挤占挪用。</w:t>
      </w:r>
      <w:r>
        <w:rPr>
          <w:rFonts w:hint="eastAsia" w:ascii="仿宋" w:hAnsi="仿宋" w:eastAsia="仿宋" w:cs="仿宋"/>
          <w:i w:val="0"/>
          <w:iCs w:val="0"/>
          <w:caps w:val="0"/>
          <w:color w:val="000000" w:themeColor="text1"/>
          <w:spacing w:val="0"/>
          <w:sz w:val="32"/>
          <w:szCs w:val="32"/>
          <w:shd w:val="clear" w:color="auto" w:fill="FFFFFF"/>
          <w:lang w:val="en-US" w:eastAsia="zh-CN"/>
          <w14:textFill>
            <w14:solidFill>
              <w14:schemeClr w14:val="tx1"/>
            </w14:solidFill>
          </w14:textFill>
        </w:rPr>
        <w:t xml:space="preserve"> </w:t>
      </w:r>
    </w:p>
    <w:p w14:paraId="5E322C8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变更管理。 项目实施过程中，工程原则上不得变更。项目主管部门和建设单位应当完善和健全内控管理制度，加强工程变更管理，明确变更审查程序，有效控制工程造价。确需进行变更的，应在合同范围内变更，并按程序向县政府有关部门进行报备。但出现下列情形之一的，建设单位应当向县发改局报告，县发改局可要求建设单位重新编制可行性研究报告报批：</w:t>
      </w:r>
    </w:p>
    <w:p w14:paraId="1CA67E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（一）初步设计提出的投资概算超过经批准的可行性研究报告所确定的投资估算10%的；</w:t>
      </w:r>
    </w:p>
    <w:p w14:paraId="4BD29C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（二）建设单位、建设性质、建设地点、建设规模、技术方案发生重大变更的</w:t>
      </w:r>
      <w:r>
        <w:rPr>
          <w:rFonts w:hint="eastAsia" w:ascii="仿宋_GB2312" w:hAnsi="仿宋_GB2312" w:eastAsia="仿宋_GB2312" w:cs="仿宋_GB2312"/>
          <w:sz w:val="32"/>
          <w:szCs w:val="32"/>
          <w:lang w:eastAsia="zh-CN"/>
        </w:rPr>
        <w:t>。</w:t>
      </w:r>
    </w:p>
    <w:p w14:paraId="2DA65A5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第二十条</w:t>
      </w:r>
      <w:r>
        <w:rPr>
          <w:rFonts w:hint="eastAsia" w:ascii="仿宋_GB2312" w:hAnsi="仿宋_GB2312" w:eastAsia="仿宋_GB2312" w:cs="仿宋_GB2312"/>
          <w:sz w:val="32"/>
          <w:szCs w:val="32"/>
        </w:rPr>
        <w:t xml:space="preserve"> 信用监管。县社会信用中心、县发改局与相关行政监督部门建立履约监管信息共享机制，将监管过程中的处罚信息同步推送至聊城市公共信用信息平台，实行联合惩戒。</w:t>
      </w:r>
    </w:p>
    <w:p w14:paraId="00FA8A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建立政府投资项目违法违规行为举报投诉制度。任何单位和个人</w:t>
      </w:r>
      <w:r>
        <w:rPr>
          <w:rFonts w:hint="eastAsia" w:ascii="仿宋_GB2312" w:hAnsi="仿宋_GB2312" w:eastAsia="仿宋_GB2312" w:cs="仿宋_GB2312"/>
          <w:spacing w:val="-6"/>
          <w:sz w:val="32"/>
          <w:szCs w:val="32"/>
        </w:rPr>
        <w:t>发现合同各方主体存在违法违规行为的，均有权向相关职能部门举报投诉，行政主管部门和相关职能部门依照职能处</w:t>
      </w:r>
      <w:r>
        <w:rPr>
          <w:rFonts w:hint="eastAsia" w:ascii="仿宋_GB2312" w:hAnsi="仿宋_GB2312" w:eastAsia="仿宋_GB2312" w:cs="仿宋_GB2312"/>
          <w:sz w:val="32"/>
          <w:szCs w:val="32"/>
        </w:rPr>
        <w:t>理。</w:t>
      </w:r>
    </w:p>
    <w:p w14:paraId="17BE66A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履约抽查。县发改局要会同县住房和城乡建设局、县交通局、县水利局、县自然资源和规划局、县财政局等有关行政监督部门对项目履约实施情况进行监督抽查。相关部门依据各自职责职权对中标人履约中出现工程转包、假借资质、非法分包等违法违规行为的，对建设单位履约中出现失职失责的，依法依规追究责任，情节严重构成犯罪的，依法移交司法机关处理。</w:t>
      </w:r>
    </w:p>
    <w:p w14:paraId="3EAE703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项目验收。项目完成后，建设单位按照国务院办公厅《关于全面开展工程建设项目审批制度改革的实施意见》（国办发〔2019〕11号）依法组织有关部门联合验收，验收结束后，于3个工作日内在“中国山东政府采购网”发布验收结果公告。</w:t>
      </w:r>
    </w:p>
    <w:p w14:paraId="118DEED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工程结算。建设单位应当严格按照合同约定和工程价款结算程序支付工程款。完工价款结算一般应当在项目完工验收后2个月内完成，最长不得超过3个月。</w:t>
      </w:r>
    </w:p>
    <w:p w14:paraId="065EE9F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竣工决算。项目完成后，建设单位一般应当在建设项目竣工验收合格后3个月内办理竣工财务决算，特殊情况确需延长的，期限最长不得超过1年。竣工财务决算经项目主管部门审核后报县财政局批复或备案，建设单位应当依照有关规定及时办理资产移交手续和产权登记手续。</w:t>
      </w:r>
    </w:p>
    <w:p w14:paraId="156D61F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政府投资项目结余的财政资金，应当按照国家有关规定缴回国库。           </w:t>
      </w:r>
    </w:p>
    <w:p w14:paraId="68E2B2CD">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五</w:t>
      </w:r>
      <w:r>
        <w:rPr>
          <w:rFonts w:hint="eastAsia" w:ascii="黑体" w:hAnsi="黑体" w:eastAsia="黑体" w:cs="黑体"/>
          <w:sz w:val="32"/>
          <w:szCs w:val="32"/>
        </w:rPr>
        <w:t>章  项目事后监管</w:t>
      </w:r>
    </w:p>
    <w:p w14:paraId="2BB32EB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项目建成后，县发改局或者其他有关部门应当按照国家有关规定选择有代表性的已建成项目进行后评价。后评价应当根据项目建成后的实际效果，对项目审批和实施进行全面评价并提出明确意见。</w:t>
      </w:r>
    </w:p>
    <w:p w14:paraId="74C2721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建设单位应当按照国家有关规定加强项目档案管理，将项目审批和实施过程中的有关文件资料存档备查。</w:t>
      </w:r>
    </w:p>
    <w:p w14:paraId="0678FF4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政府投资项目的绩效管理、建设工程质量管理、安全生产管理等事项，依据有关法律、法规办理。</w:t>
      </w:r>
    </w:p>
    <w:p w14:paraId="745FD5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项目监督管理应当按照谁审批谁监管、谁主管谁监管的原则，各负其责，依法监管，依法纠正和查处违法违规行为。         </w:t>
      </w:r>
    </w:p>
    <w:p w14:paraId="2D7021EB">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主管部门、建设单位、社会中介机构及其工作人员应当严格执行法律、法规和本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的有关规定。违反规定的，由有关部门依法对相关单位及其工作人员给予处分。构成犯罪的，依法追究刑事责任。</w:t>
      </w:r>
    </w:p>
    <w:p w14:paraId="1C53BDB7">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w:t>
      </w:r>
      <w:r>
        <w:rPr>
          <w:rFonts w:hint="eastAsia" w:ascii="黑体" w:hAnsi="黑体" w:eastAsia="黑体" w:cs="黑体"/>
          <w:sz w:val="32"/>
          <w:szCs w:val="32"/>
          <w:lang w:val="en-US" w:eastAsia="zh-CN"/>
        </w:rPr>
        <w:t>六</w:t>
      </w:r>
      <w:r>
        <w:rPr>
          <w:rFonts w:hint="eastAsia" w:ascii="黑体" w:hAnsi="黑体" w:eastAsia="黑体" w:cs="黑体"/>
          <w:sz w:val="32"/>
          <w:szCs w:val="32"/>
        </w:rPr>
        <w:t>章  附则</w:t>
      </w:r>
    </w:p>
    <w:p w14:paraId="4BD7458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第三十条</w:t>
      </w:r>
      <w:r>
        <w:rPr>
          <w:rFonts w:hint="eastAsia" w:ascii="仿宋_GB2312" w:hAnsi="仿宋_GB2312" w:eastAsia="仿宋_GB2312" w:cs="仿宋_GB2312"/>
          <w:sz w:val="32"/>
          <w:szCs w:val="32"/>
        </w:rPr>
        <w:t xml:space="preserve"> 县属国有企业出资建设的固定资产项目，可参照本</w:t>
      </w:r>
      <w:r>
        <w:rPr>
          <w:rFonts w:hint="eastAsia" w:ascii="仿宋_GB2312" w:hAnsi="仿宋_GB2312" w:eastAsia="仿宋_GB2312" w:cs="仿宋_GB2312"/>
          <w:sz w:val="32"/>
          <w:szCs w:val="32"/>
          <w:lang w:val="en-US" w:eastAsia="zh-CN"/>
        </w:rPr>
        <w:t>规程</w:t>
      </w:r>
      <w:r>
        <w:rPr>
          <w:rFonts w:hint="eastAsia" w:ascii="仿宋_GB2312" w:hAnsi="仿宋_GB2312" w:eastAsia="仿宋_GB2312" w:cs="仿宋_GB2312"/>
          <w:sz w:val="32"/>
          <w:szCs w:val="32"/>
        </w:rPr>
        <w:t>执行。</w:t>
      </w:r>
    </w:p>
    <w:p w14:paraId="6DE9423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sz w:val="32"/>
          <w:szCs w:val="32"/>
          <w:lang w:val="en-US" w:eastAsia="zh-CN"/>
        </w:rPr>
        <w:t xml:space="preserve">第三十一条 </w:t>
      </w:r>
      <w:r>
        <w:rPr>
          <w:rFonts w:hint="eastAsia" w:ascii="仿宋_GB2312" w:hAnsi="仿宋_GB2312" w:eastAsia="仿宋_GB2312" w:cs="仿宋_GB2312"/>
          <w:b w:val="0"/>
          <w:bCs w:val="0"/>
          <w:sz w:val="32"/>
          <w:szCs w:val="32"/>
          <w:lang w:val="en-US" w:eastAsia="zh-CN"/>
        </w:rPr>
        <w:t>本规</w:t>
      </w:r>
      <w:r>
        <w:rPr>
          <w:rFonts w:hint="eastAsia" w:ascii="仿宋_GB2312" w:hAnsi="仿宋_GB2312" w:eastAsia="仿宋_GB2312" w:cs="仿宋_GB2312"/>
          <w:b w:val="0"/>
          <w:bCs w:val="0"/>
          <w:color w:val="auto"/>
          <w:sz w:val="32"/>
          <w:szCs w:val="32"/>
          <w:lang w:val="en-US" w:eastAsia="zh-CN"/>
        </w:rPr>
        <w:t>程自公布之日起施行。</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我县以前有关规定与本规程不一致的，以本规程为准。</w:t>
      </w:r>
    </w:p>
    <w:p w14:paraId="1B0AE1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bookmarkEnd w:id="0"/>
    </w:p>
    <w:p w14:paraId="6D5939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1.冠县政府投资项目全流程监管流程图</w:t>
      </w:r>
    </w:p>
    <w:p w14:paraId="6E8D13F6">
      <w:pPr>
        <w:keepNext w:val="0"/>
        <w:keepLines w:val="0"/>
        <w:pageBreakBefore w:val="0"/>
        <w:widowControl w:val="0"/>
        <w:kinsoku/>
        <w:wordWrap/>
        <w:overflowPunct/>
        <w:topLinePunct w:val="0"/>
        <w:autoSpaceDE/>
        <w:autoSpaceDN/>
        <w:bidi w:val="0"/>
        <w:adjustRightInd/>
        <w:snapToGrid/>
        <w:spacing w:line="600" w:lineRule="exact"/>
        <w:ind w:firstLine="1600" w:firstLineChars="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2.政府投资项目决策审批表</w:t>
      </w:r>
    </w:p>
    <w:p w14:paraId="6054AA50">
      <w:pPr>
        <w:widowControl/>
        <w:rPr>
          <w:rFonts w:hint="eastAsia" w:ascii="黑体" w:hAnsi="黑体" w:eastAsia="黑体" w:cs="黑体fal"/>
          <w:color w:val="000000"/>
          <w:sz w:val="24"/>
          <w:szCs w:val="24"/>
        </w:rPr>
      </w:pPr>
    </w:p>
    <w:p w14:paraId="418F4EAD">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44238C78">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5E54E09C">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418F5822">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145A8384">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0846D4CC">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55FB0E6E">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7EFFE353">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6A577DE9">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66B67B14">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5EEF6728">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28087E42">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59E9E2CB">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334CF129">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15DA4CA7">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08AA84A7">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color w:val="000000"/>
          <w:sz w:val="32"/>
          <w:szCs w:val="32"/>
        </w:rPr>
      </w:pPr>
    </w:p>
    <w:p w14:paraId="29D5AAD5">
      <w:pPr>
        <w:keepNext w:val="0"/>
        <w:keepLines w:val="0"/>
        <w:pageBreakBefore w:val="0"/>
        <w:widowControl/>
        <w:kinsoku/>
        <w:wordWrap/>
        <w:overflowPunct/>
        <w:topLinePunct w:val="0"/>
        <w:autoSpaceDE/>
        <w:autoSpaceDN/>
        <w:bidi w:val="0"/>
        <w:adjustRightInd/>
        <w:snapToGrid/>
        <w:spacing w:line="500" w:lineRule="exact"/>
        <w:textAlignment w:val="auto"/>
        <w:rPr>
          <w:rFonts w:hint="eastAsia" w:ascii="黑体" w:hAnsi="黑体" w:eastAsia="黑体" w:cs="黑体fal"/>
          <w:b/>
          <w:bCs/>
          <w:color w:val="000000"/>
          <w:sz w:val="32"/>
          <w:szCs w:val="32"/>
          <w:lang w:val="en-US" w:eastAsia="zh-CN"/>
        </w:rPr>
      </w:pPr>
      <w:r>
        <w:rPr>
          <w:rFonts w:hint="eastAsia" w:ascii="黑体" w:hAnsi="黑体" w:eastAsia="黑体" w:cs="黑体fal"/>
          <w:color w:val="000000"/>
          <w:sz w:val="32"/>
          <w:szCs w:val="32"/>
        </w:rPr>
        <w:t>附件</w:t>
      </w:r>
      <w:r>
        <w:rPr>
          <w:rFonts w:hint="eastAsia" w:ascii="黑体" w:hAnsi="黑体" w:eastAsia="黑体" w:cs="黑体fal"/>
          <w:color w:val="000000"/>
          <w:sz w:val="32"/>
          <w:szCs w:val="32"/>
          <w:lang w:val="en-US" w:eastAsia="zh-CN"/>
        </w:rPr>
        <w:t>1</w:t>
      </w:r>
    </w:p>
    <w:p w14:paraId="159DB70C">
      <w:pPr>
        <w:keepNext w:val="0"/>
        <w:keepLines w:val="0"/>
        <w:pageBreakBefore w:val="0"/>
        <w:widowControl w:val="0"/>
        <w:kinsoku/>
        <w:wordWrap/>
        <w:overflowPunct/>
        <w:topLinePunct w:val="0"/>
        <w:autoSpaceDE/>
        <w:autoSpaceDN/>
        <w:bidi w:val="0"/>
        <w:adjustRightInd/>
        <w:snapToGrid/>
        <w:spacing w:before="157" w:beforeLines="50" w:line="576" w:lineRule="exact"/>
        <w:ind w:left="0" w:leftChars="0" w:firstLine="0" w:firstLineChars="0"/>
        <w:jc w:val="center"/>
        <w:textAlignment w:val="auto"/>
        <w:rPr>
          <w:rFonts w:hint="eastAsia" w:ascii="方正大标宋简体" w:hAnsi="方正大标宋简体" w:eastAsia="方正大标宋简体" w:cs="方正大标宋简体"/>
          <w:color w:val="000000"/>
          <w:sz w:val="44"/>
          <w:szCs w:val="44"/>
        </w:rPr>
      </w:pPr>
      <w:r>
        <w:rPr>
          <w:rFonts w:hint="eastAsia" w:ascii="方正大标宋简体" w:hAnsi="方正大标宋简体" w:eastAsia="方正大标宋简体" w:cs="方正大标宋简体"/>
          <w:color w:val="000000"/>
          <w:sz w:val="44"/>
          <w:szCs w:val="44"/>
          <w:lang w:val="en-US" w:eastAsia="zh-CN"/>
        </w:rPr>
        <w:t>冠县</w:t>
      </w:r>
      <w:r>
        <w:rPr>
          <w:rFonts w:hint="eastAsia" w:ascii="方正大标宋简体" w:hAnsi="方正大标宋简体" w:eastAsia="方正大标宋简体" w:cs="方正大标宋简体"/>
          <w:color w:val="000000"/>
          <w:sz w:val="44"/>
          <w:szCs w:val="44"/>
        </w:rPr>
        <w:t>政府投资项目全流程监管流程图</w:t>
      </w:r>
    </w:p>
    <w:p w14:paraId="7AD4DBCF">
      <w:pPr>
        <w:jc w:val="left"/>
        <w:rPr>
          <w:rFonts w:hint="eastAsia" w:ascii="黑体" w:hAnsi="黑体" w:eastAsia="黑体" w:cs="黑体fal"/>
          <w:bCs/>
          <w:color w:val="000000"/>
          <w:sz w:val="28"/>
          <w:szCs w:val="28"/>
        </w:rPr>
      </w:pPr>
      <w:r>
        <w:rPr>
          <w:sz w:val="32"/>
        </w:rPr>
        <mc:AlternateContent>
          <mc:Choice Requires="wpg">
            <w:drawing>
              <wp:anchor distT="0" distB="0" distL="114300" distR="114300" simplePos="0" relativeHeight="251662336" behindDoc="0" locked="0" layoutInCell="1" allowOverlap="1">
                <wp:simplePos x="0" y="0"/>
                <wp:positionH relativeFrom="column">
                  <wp:posOffset>-93980</wp:posOffset>
                </wp:positionH>
                <wp:positionV relativeFrom="paragraph">
                  <wp:posOffset>311785</wp:posOffset>
                </wp:positionV>
                <wp:extent cx="5843905" cy="6325870"/>
                <wp:effectExtent l="4445" t="5080" r="19050" b="12700"/>
                <wp:wrapNone/>
                <wp:docPr id="80" name="组合 80"/>
                <wp:cNvGraphicFramePr/>
                <a:graphic xmlns:a="http://schemas.openxmlformats.org/drawingml/2006/main">
                  <a:graphicData uri="http://schemas.microsoft.com/office/word/2010/wordprocessingGroup">
                    <wpg:wgp>
                      <wpg:cNvGrpSpPr/>
                      <wpg:grpSpPr>
                        <a:xfrm>
                          <a:off x="0" y="0"/>
                          <a:ext cx="5843905" cy="6325870"/>
                          <a:chOff x="7157" y="209842"/>
                          <a:chExt cx="9203" cy="9962"/>
                        </a:xfrm>
                      </wpg:grpSpPr>
                      <wps:wsp>
                        <wps:cNvPr id="15" name="直接箭头连接符 15"/>
                        <wps:cNvCnPr/>
                        <wps:spPr>
                          <a:xfrm>
                            <a:off x="10935" y="210354"/>
                            <a:ext cx="647" cy="2"/>
                          </a:xfrm>
                          <a:prstGeom prst="straightConnector1">
                            <a:avLst/>
                          </a:prstGeom>
                          <a:ln w="9525" cap="flat" cmpd="sng">
                            <a:solidFill>
                              <a:srgbClr val="000000"/>
                            </a:solidFill>
                            <a:prstDash val="solid"/>
                            <a:headEnd type="none" w="med" len="med"/>
                            <a:tailEnd type="triangle" w="med" len="med"/>
                          </a:ln>
                          <a:effectLst/>
                        </wps:spPr>
                        <wps:bodyPr/>
                      </wps:wsp>
                      <wps:wsp>
                        <wps:cNvPr id="24" name="直接箭头连接符 24"/>
                        <wps:cNvCnPr/>
                        <wps:spPr>
                          <a:xfrm>
                            <a:off x="8676" y="210374"/>
                            <a:ext cx="561" cy="1"/>
                          </a:xfrm>
                          <a:prstGeom prst="straightConnector1">
                            <a:avLst/>
                          </a:prstGeom>
                          <a:ln w="9525" cap="flat" cmpd="sng">
                            <a:solidFill>
                              <a:srgbClr val="000000"/>
                            </a:solidFill>
                            <a:prstDash val="solid"/>
                            <a:headEnd type="none" w="med" len="med"/>
                            <a:tailEnd type="triangle" w="med" len="med"/>
                          </a:ln>
                          <a:effectLst/>
                        </wps:spPr>
                        <wps:bodyPr/>
                      </wps:wsp>
                      <wps:wsp>
                        <wps:cNvPr id="31" name="肘形连接符 31"/>
                        <wps:cNvCnPr/>
                        <wps:spPr>
                          <a:xfrm rot="5400000" flipV="1">
                            <a:off x="7710" y="210938"/>
                            <a:ext cx="324" cy="6"/>
                          </a:xfrm>
                          <a:prstGeom prst="bentConnector3">
                            <a:avLst>
                              <a:gd name="adj1" fmla="val 50310"/>
                            </a:avLst>
                          </a:prstGeom>
                          <a:ln w="9525" cap="flat" cmpd="sng">
                            <a:solidFill>
                              <a:srgbClr val="000000"/>
                            </a:solidFill>
                            <a:prstDash val="solid"/>
                            <a:miter/>
                            <a:headEnd type="none" w="med" len="med"/>
                            <a:tailEnd type="triangle" w="med" len="med"/>
                          </a:ln>
                          <a:effectLst/>
                        </wps:spPr>
                        <wps:bodyPr/>
                      </wps:wsp>
                      <wps:wsp>
                        <wps:cNvPr id="32" name="直接箭头连接符 32"/>
                        <wps:cNvCnPr/>
                        <wps:spPr>
                          <a:xfrm>
                            <a:off x="10861" y="211652"/>
                            <a:ext cx="647" cy="2"/>
                          </a:xfrm>
                          <a:prstGeom prst="straightConnector1">
                            <a:avLst/>
                          </a:prstGeom>
                          <a:ln w="9525" cap="flat" cmpd="sng">
                            <a:solidFill>
                              <a:srgbClr val="000000"/>
                            </a:solidFill>
                            <a:prstDash val="solid"/>
                            <a:headEnd type="none" w="med" len="med"/>
                            <a:tailEnd type="triangle" w="med" len="med"/>
                          </a:ln>
                          <a:effectLst/>
                        </wps:spPr>
                        <wps:bodyPr/>
                      </wps:wsp>
                      <wps:wsp>
                        <wps:cNvPr id="26" name="直接箭头连接符 26"/>
                        <wps:cNvCnPr/>
                        <wps:spPr>
                          <a:xfrm>
                            <a:off x="8684" y="212691"/>
                            <a:ext cx="507" cy="1"/>
                          </a:xfrm>
                          <a:prstGeom prst="straightConnector1">
                            <a:avLst/>
                          </a:prstGeom>
                          <a:ln w="9525" cap="flat" cmpd="sng">
                            <a:solidFill>
                              <a:srgbClr val="000000"/>
                            </a:solidFill>
                            <a:prstDash val="solid"/>
                            <a:headEnd type="none" w="med" len="med"/>
                            <a:tailEnd type="triangle" w="med" len="med"/>
                          </a:ln>
                          <a:effectLst/>
                        </wps:spPr>
                        <wps:bodyPr/>
                      </wps:wsp>
                      <wps:wsp>
                        <wps:cNvPr id="20" name="直接箭头连接符 20"/>
                        <wps:cNvCnPr/>
                        <wps:spPr>
                          <a:xfrm>
                            <a:off x="11003" y="212666"/>
                            <a:ext cx="495" cy="0"/>
                          </a:xfrm>
                          <a:prstGeom prst="straightConnector1">
                            <a:avLst/>
                          </a:prstGeom>
                          <a:ln w="9525" cap="flat" cmpd="sng">
                            <a:solidFill>
                              <a:srgbClr val="000000"/>
                            </a:solidFill>
                            <a:prstDash val="solid"/>
                            <a:headEnd type="none" w="med" len="med"/>
                            <a:tailEnd type="triangle" w="med" len="med"/>
                          </a:ln>
                          <a:effectLst/>
                        </wps:spPr>
                        <wps:bodyPr/>
                      </wps:wsp>
                      <wps:wsp>
                        <wps:cNvPr id="33" name="肘形连接符 33"/>
                        <wps:cNvCnPr/>
                        <wps:spPr>
                          <a:xfrm rot="5400000">
                            <a:off x="7631" y="213083"/>
                            <a:ext cx="516" cy="4"/>
                          </a:xfrm>
                          <a:prstGeom prst="bentConnector3">
                            <a:avLst>
                              <a:gd name="adj1" fmla="val 49903"/>
                            </a:avLst>
                          </a:prstGeom>
                          <a:ln w="9525" cap="flat" cmpd="sng">
                            <a:solidFill>
                              <a:srgbClr val="000000"/>
                            </a:solidFill>
                            <a:prstDash val="solid"/>
                            <a:miter/>
                            <a:headEnd type="none" w="med" len="med"/>
                            <a:tailEnd type="triangle" w="med" len="med"/>
                          </a:ln>
                        </wps:spPr>
                        <wps:bodyPr/>
                      </wps:wsp>
                      <wps:wsp>
                        <wps:cNvPr id="30" name="直接箭头连接符 30"/>
                        <wps:cNvCnPr/>
                        <wps:spPr>
                          <a:xfrm>
                            <a:off x="8696" y="213577"/>
                            <a:ext cx="507" cy="1"/>
                          </a:xfrm>
                          <a:prstGeom prst="straightConnector1">
                            <a:avLst/>
                          </a:prstGeom>
                          <a:ln w="9525" cap="flat" cmpd="sng">
                            <a:solidFill>
                              <a:srgbClr val="000000"/>
                            </a:solidFill>
                            <a:prstDash val="solid"/>
                            <a:headEnd type="none" w="med" len="med"/>
                            <a:tailEnd type="triangle" w="med" len="med"/>
                          </a:ln>
                          <a:effectLst/>
                        </wps:spPr>
                        <wps:bodyPr/>
                      </wps:wsp>
                      <wps:wsp>
                        <wps:cNvPr id="11" name="直接箭头连接符 11"/>
                        <wps:cNvCnPr/>
                        <wps:spPr>
                          <a:xfrm>
                            <a:off x="10943" y="213550"/>
                            <a:ext cx="495" cy="0"/>
                          </a:xfrm>
                          <a:prstGeom prst="straightConnector1">
                            <a:avLst/>
                          </a:prstGeom>
                          <a:ln w="9525" cap="flat" cmpd="sng">
                            <a:solidFill>
                              <a:srgbClr val="000000"/>
                            </a:solidFill>
                            <a:prstDash val="solid"/>
                            <a:headEnd type="none" w="med" len="med"/>
                            <a:tailEnd type="triangle" w="med" len="med"/>
                          </a:ln>
                          <a:effectLst/>
                        </wps:spPr>
                        <wps:bodyPr/>
                      </wps:wsp>
                      <wps:wsp>
                        <wps:cNvPr id="36" name="肘形连接符 36"/>
                        <wps:cNvCnPr/>
                        <wps:spPr>
                          <a:xfrm rot="5400000">
                            <a:off x="7718" y="214124"/>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1" name="直接箭头连接符 51"/>
                        <wps:cNvCnPr/>
                        <wps:spPr>
                          <a:xfrm>
                            <a:off x="8735" y="214552"/>
                            <a:ext cx="522" cy="1"/>
                          </a:xfrm>
                          <a:prstGeom prst="straightConnector1">
                            <a:avLst/>
                          </a:prstGeom>
                          <a:ln w="9525" cap="flat" cmpd="sng">
                            <a:solidFill>
                              <a:srgbClr val="000000"/>
                            </a:solidFill>
                            <a:prstDash val="solid"/>
                            <a:headEnd type="none" w="med" len="med"/>
                            <a:tailEnd type="triangle" w="med" len="med"/>
                          </a:ln>
                          <a:effectLst/>
                        </wps:spPr>
                        <wps:bodyPr/>
                      </wps:wsp>
                      <wps:wsp>
                        <wps:cNvPr id="34" name="肘形连接符 34"/>
                        <wps:cNvCnPr/>
                        <wps:spPr>
                          <a:xfrm>
                            <a:off x="11022" y="214608"/>
                            <a:ext cx="510" cy="1"/>
                          </a:xfrm>
                          <a:prstGeom prst="bentConnector3">
                            <a:avLst>
                              <a:gd name="adj1" fmla="val 50000"/>
                            </a:avLst>
                          </a:prstGeom>
                          <a:ln w="9525" cap="flat" cmpd="sng">
                            <a:solidFill>
                              <a:srgbClr val="000000"/>
                            </a:solidFill>
                            <a:prstDash val="solid"/>
                            <a:miter/>
                            <a:headEnd type="none" w="med" len="med"/>
                            <a:tailEnd type="triangle" w="med" len="med"/>
                          </a:ln>
                        </wps:spPr>
                        <wps:bodyPr/>
                      </wps:wsp>
                      <wps:wsp>
                        <wps:cNvPr id="47" name="肘形连接符 47"/>
                        <wps:cNvCnPr/>
                        <wps:spPr>
                          <a:xfrm rot="5400000">
                            <a:off x="7734" y="215042"/>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42" name="肘形连接符 42"/>
                        <wps:cNvCnPr/>
                        <wps:spPr>
                          <a:xfrm>
                            <a:off x="8675" y="215386"/>
                            <a:ext cx="537" cy="1"/>
                          </a:xfrm>
                          <a:prstGeom prst="bentConnector3">
                            <a:avLst>
                              <a:gd name="adj1" fmla="val 49907"/>
                            </a:avLst>
                          </a:prstGeom>
                          <a:ln w="9525" cap="flat" cmpd="sng">
                            <a:solidFill>
                              <a:srgbClr val="000000"/>
                            </a:solidFill>
                            <a:prstDash val="solid"/>
                            <a:miter/>
                            <a:headEnd type="none" w="med" len="med"/>
                            <a:tailEnd type="triangle" w="med" len="med"/>
                          </a:ln>
                        </wps:spPr>
                        <wps:bodyPr/>
                      </wps:wsp>
                      <wps:wsp>
                        <wps:cNvPr id="43" name="直接箭头连接符 43"/>
                        <wps:cNvCnPr/>
                        <wps:spPr>
                          <a:xfrm>
                            <a:off x="10983" y="215465"/>
                            <a:ext cx="540" cy="1"/>
                          </a:xfrm>
                          <a:prstGeom prst="straightConnector1">
                            <a:avLst/>
                          </a:prstGeom>
                          <a:ln w="9525" cap="flat" cmpd="sng">
                            <a:solidFill>
                              <a:srgbClr val="000000"/>
                            </a:solidFill>
                            <a:prstDash val="solid"/>
                            <a:headEnd type="none" w="med" len="med"/>
                            <a:tailEnd type="triangle" w="med" len="med"/>
                          </a:ln>
                          <a:effectLst/>
                        </wps:spPr>
                        <wps:bodyPr/>
                      </wps:wsp>
                      <wps:wsp>
                        <wps:cNvPr id="45" name="肘形连接符 45"/>
                        <wps:cNvCnPr/>
                        <wps:spPr>
                          <a:xfrm rot="5400000" flipV="1">
                            <a:off x="7686" y="215854"/>
                            <a:ext cx="419" cy="5"/>
                          </a:xfrm>
                          <a:prstGeom prst="bentConnector3">
                            <a:avLst>
                              <a:gd name="adj1" fmla="val 50000"/>
                            </a:avLst>
                          </a:prstGeom>
                          <a:ln w="9525" cap="flat" cmpd="sng">
                            <a:solidFill>
                              <a:srgbClr val="000000"/>
                            </a:solidFill>
                            <a:prstDash val="solid"/>
                            <a:miter/>
                            <a:headEnd type="none" w="med" len="med"/>
                            <a:tailEnd type="triangle" w="med" len="med"/>
                          </a:ln>
                        </wps:spPr>
                        <wps:bodyPr/>
                      </wps:wsp>
                      <wps:wsp>
                        <wps:cNvPr id="56" name="直接箭头连接符 56"/>
                        <wps:cNvCnPr/>
                        <wps:spPr>
                          <a:xfrm>
                            <a:off x="10981" y="216181"/>
                            <a:ext cx="537" cy="1"/>
                          </a:xfrm>
                          <a:prstGeom prst="straightConnector1">
                            <a:avLst/>
                          </a:prstGeom>
                          <a:ln w="9525" cap="flat" cmpd="sng">
                            <a:solidFill>
                              <a:srgbClr val="000000"/>
                            </a:solidFill>
                            <a:prstDash val="solid"/>
                            <a:headEnd type="none" w="med" len="med"/>
                            <a:tailEnd type="triangle" w="med" len="med"/>
                          </a:ln>
                          <a:effectLst/>
                        </wps:spPr>
                        <wps:bodyPr/>
                      </wps:wsp>
                      <wps:wsp>
                        <wps:cNvPr id="49" name="直接箭头连接符 49"/>
                        <wps:cNvCnPr/>
                        <wps:spPr>
                          <a:xfrm>
                            <a:off x="8730" y="216272"/>
                            <a:ext cx="450" cy="0"/>
                          </a:xfrm>
                          <a:prstGeom prst="straightConnector1">
                            <a:avLst/>
                          </a:prstGeom>
                          <a:ln w="9525" cap="flat" cmpd="sng">
                            <a:solidFill>
                              <a:srgbClr val="000000"/>
                            </a:solidFill>
                            <a:prstDash val="solid"/>
                            <a:headEnd type="none" w="med" len="med"/>
                            <a:tailEnd type="triangle" w="med" len="med"/>
                          </a:ln>
                          <a:effectLst/>
                        </wps:spPr>
                        <wps:bodyPr/>
                      </wps:wsp>
                      <wps:wsp>
                        <wps:cNvPr id="68" name="肘形连接符 68"/>
                        <wps:cNvCnPr/>
                        <wps:spPr>
                          <a:xfrm rot="5400000">
                            <a:off x="7719" y="216638"/>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9" name="直接箭头连接符 59"/>
                        <wps:cNvCnPr/>
                        <wps:spPr>
                          <a:xfrm>
                            <a:off x="8772" y="216992"/>
                            <a:ext cx="412" cy="0"/>
                          </a:xfrm>
                          <a:prstGeom prst="straightConnector1">
                            <a:avLst/>
                          </a:prstGeom>
                          <a:ln w="9525" cap="flat" cmpd="sng">
                            <a:solidFill>
                              <a:srgbClr val="000000"/>
                            </a:solidFill>
                            <a:prstDash val="solid"/>
                            <a:headEnd type="none" w="med" len="med"/>
                            <a:tailEnd type="triangle" w="med" len="med"/>
                          </a:ln>
                          <a:effectLst/>
                        </wps:spPr>
                        <wps:bodyPr/>
                      </wps:wsp>
                      <wps:wsp>
                        <wps:cNvPr id="69" name="肘形连接符 69"/>
                        <wps:cNvCnPr/>
                        <wps:spPr>
                          <a:xfrm rot="5400000">
                            <a:off x="7674" y="217469"/>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60" name="直接箭头连接符 60"/>
                        <wps:cNvCnPr/>
                        <wps:spPr>
                          <a:xfrm>
                            <a:off x="11050" y="216947"/>
                            <a:ext cx="465" cy="0"/>
                          </a:xfrm>
                          <a:prstGeom prst="straightConnector1">
                            <a:avLst/>
                          </a:prstGeom>
                          <a:ln w="9525" cap="flat" cmpd="sng">
                            <a:solidFill>
                              <a:srgbClr val="000000"/>
                            </a:solidFill>
                            <a:prstDash val="solid"/>
                            <a:round/>
                            <a:headEnd type="none" w="med" len="med"/>
                            <a:tailEnd type="triangle" w="med" len="med"/>
                          </a:ln>
                        </wps:spPr>
                        <wps:bodyPr/>
                      </wps:wsp>
                      <wps:wsp>
                        <wps:cNvPr id="70" name="直接箭头连接符 70"/>
                        <wps:cNvCnPr/>
                        <wps:spPr>
                          <a:xfrm>
                            <a:off x="11065" y="217985"/>
                            <a:ext cx="465" cy="0"/>
                          </a:xfrm>
                          <a:prstGeom prst="straightConnector1">
                            <a:avLst/>
                          </a:prstGeom>
                          <a:ln w="9525" cap="flat" cmpd="sng">
                            <a:solidFill>
                              <a:srgbClr val="000000"/>
                            </a:solidFill>
                            <a:prstDash val="solid"/>
                            <a:round/>
                            <a:headEnd type="none" w="med" len="med"/>
                            <a:tailEnd type="triangle" w="med" len="med"/>
                          </a:ln>
                        </wps:spPr>
                        <wps:bodyPr/>
                      </wps:wsp>
                      <wps:wsp>
                        <wps:cNvPr id="71" name="肘形连接符 71"/>
                        <wps:cNvCnPr/>
                        <wps:spPr>
                          <a:xfrm rot="5400000">
                            <a:off x="7716" y="218437"/>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4" name="直接箭头连接符 54"/>
                        <wps:cNvCnPr/>
                        <wps:spPr>
                          <a:xfrm>
                            <a:off x="8802" y="218030"/>
                            <a:ext cx="412" cy="0"/>
                          </a:xfrm>
                          <a:prstGeom prst="straightConnector1">
                            <a:avLst/>
                          </a:prstGeom>
                          <a:ln w="9525" cap="flat" cmpd="sng">
                            <a:solidFill>
                              <a:srgbClr val="000000"/>
                            </a:solidFill>
                            <a:prstDash val="solid"/>
                            <a:headEnd type="none" w="med" len="med"/>
                            <a:tailEnd type="triangle" w="med" len="med"/>
                          </a:ln>
                          <a:effectLst/>
                        </wps:spPr>
                        <wps:bodyPr/>
                      </wps:wsp>
                      <wps:wsp>
                        <wps:cNvPr id="58" name="直接箭头连接符 58"/>
                        <wps:cNvCnPr/>
                        <wps:spPr>
                          <a:xfrm>
                            <a:off x="11098" y="218802"/>
                            <a:ext cx="451" cy="0"/>
                          </a:xfrm>
                          <a:prstGeom prst="straightConnector1">
                            <a:avLst/>
                          </a:prstGeom>
                          <a:ln w="9525" cap="flat" cmpd="sng">
                            <a:solidFill>
                              <a:srgbClr val="000000"/>
                            </a:solidFill>
                            <a:prstDash val="solid"/>
                            <a:round/>
                            <a:headEnd type="none" w="med" len="med"/>
                            <a:tailEnd type="triangle" w="med" len="med"/>
                          </a:ln>
                        </wps:spPr>
                        <wps:bodyPr/>
                      </wps:wsp>
                      <wps:wsp>
                        <wps:cNvPr id="65" name="直接箭头连接符 65"/>
                        <wps:cNvCnPr/>
                        <wps:spPr>
                          <a:xfrm>
                            <a:off x="8794" y="218836"/>
                            <a:ext cx="391" cy="0"/>
                          </a:xfrm>
                          <a:prstGeom prst="straightConnector1">
                            <a:avLst/>
                          </a:prstGeom>
                          <a:ln w="9525" cap="flat" cmpd="sng">
                            <a:solidFill>
                              <a:srgbClr val="000000"/>
                            </a:solidFill>
                            <a:prstDash val="solid"/>
                            <a:headEnd type="none" w="med" len="med"/>
                            <a:tailEnd type="triangle" w="med" len="med"/>
                          </a:ln>
                          <a:effectLst/>
                        </wps:spPr>
                        <wps:bodyPr/>
                      </wps:wsp>
                      <wps:wsp>
                        <wps:cNvPr id="25" name="矩形 25"/>
                        <wps:cNvSpPr/>
                        <wps:spPr>
                          <a:xfrm>
                            <a:off x="11558" y="209842"/>
                            <a:ext cx="4706" cy="95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14A339">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5"/>
                                  <w:sz w:val="15"/>
                                  <w:szCs w:val="15"/>
                                  <w:lang w:val="en-US" w:eastAsia="zh-CN"/>
                                </w:rPr>
                                <w:t>建设单位</w:t>
                              </w:r>
                              <w:r>
                                <w:rPr>
                                  <w:rFonts w:hint="eastAsia" w:ascii="仿宋_GB2312" w:hAnsi="仿宋_GB2312" w:eastAsia="仿宋_GB2312" w:cs="仿宋_GB2312"/>
                                  <w:b w:val="0"/>
                                  <w:bCs w:val="0"/>
                                  <w:spacing w:val="-5"/>
                                  <w:sz w:val="15"/>
                                  <w:szCs w:val="15"/>
                                </w:rPr>
                                <w:t>依法选定第三方机构编制可研报告</w:t>
                              </w:r>
                              <w:r>
                                <w:rPr>
                                  <w:rFonts w:hint="eastAsia" w:ascii="仿宋_GB2312" w:hAnsi="仿宋_GB2312" w:eastAsia="仿宋_GB2312" w:cs="仿宋_GB2312"/>
                                  <w:b w:val="0"/>
                                  <w:bCs w:val="0"/>
                                  <w:spacing w:val="-5"/>
                                  <w:sz w:val="15"/>
                                  <w:szCs w:val="15"/>
                                  <w:lang w:eastAsia="zh-CN"/>
                                </w:rPr>
                                <w:t>（</w:t>
                              </w:r>
                              <w:r>
                                <w:rPr>
                                  <w:rFonts w:hint="eastAsia" w:ascii="仿宋_GB2312" w:hAnsi="仿宋_GB2312" w:eastAsia="仿宋_GB2312" w:cs="仿宋_GB2312"/>
                                  <w:b w:val="0"/>
                                  <w:bCs w:val="0"/>
                                  <w:spacing w:val="-5"/>
                                  <w:sz w:val="15"/>
                                  <w:szCs w:val="15"/>
                                  <w:lang w:val="en-US" w:eastAsia="zh-CN"/>
                                </w:rPr>
                                <w:t>含初设）</w:t>
                              </w:r>
                              <w:r>
                                <w:rPr>
                                  <w:rFonts w:hint="eastAsia" w:ascii="仿宋_GB2312" w:hAnsi="仿宋_GB2312" w:eastAsia="仿宋_GB2312" w:cs="仿宋_GB2312"/>
                                  <w:b w:val="0"/>
                                  <w:bCs w:val="0"/>
                                  <w:spacing w:val="-5"/>
                                  <w:sz w:val="15"/>
                                  <w:szCs w:val="15"/>
                                </w:rPr>
                                <w:t>，</w:t>
                              </w:r>
                              <w:r>
                                <w:rPr>
                                  <w:rFonts w:hint="eastAsia" w:ascii="仿宋_GB2312" w:hAnsi="仿宋_GB2312" w:eastAsia="仿宋_GB2312" w:cs="仿宋_GB2312"/>
                                  <w:b w:val="0"/>
                                  <w:bCs w:val="0"/>
                                  <w:spacing w:val="-45"/>
                                  <w:sz w:val="15"/>
                                  <w:szCs w:val="15"/>
                                </w:rPr>
                                <w:t xml:space="preserve"> </w:t>
                              </w:r>
                              <w:r>
                                <w:rPr>
                                  <w:rFonts w:hint="eastAsia" w:ascii="仿宋_GB2312" w:hAnsi="仿宋_GB2312" w:eastAsia="仿宋_GB2312" w:cs="仿宋_GB2312"/>
                                  <w:b w:val="0"/>
                                  <w:bCs w:val="0"/>
                                  <w:spacing w:val="-5"/>
                                  <w:sz w:val="15"/>
                                  <w:szCs w:val="15"/>
                                </w:rPr>
                                <w:t>确</w:t>
                              </w:r>
                              <w:r>
                                <w:rPr>
                                  <w:rFonts w:hint="eastAsia" w:ascii="仿宋_GB2312" w:hAnsi="仿宋_GB2312" w:eastAsia="仿宋_GB2312" w:cs="仿宋_GB2312"/>
                                  <w:b w:val="0"/>
                                  <w:bCs w:val="0"/>
                                  <w:spacing w:val="-3"/>
                                  <w:sz w:val="15"/>
                                  <w:szCs w:val="15"/>
                                </w:rPr>
                                <w:t>定</w:t>
                              </w:r>
                              <w:r>
                                <w:rPr>
                                  <w:rFonts w:hint="eastAsia" w:ascii="仿宋_GB2312" w:hAnsi="仿宋_GB2312" w:eastAsia="仿宋_GB2312" w:cs="仿宋_GB2312"/>
                                  <w:b w:val="0"/>
                                  <w:bCs w:val="0"/>
                                  <w:spacing w:val="-3"/>
                                  <w:sz w:val="15"/>
                                  <w:szCs w:val="15"/>
                                  <w:lang w:val="en-US" w:eastAsia="zh-CN"/>
                                </w:rPr>
                                <w:t>投资估算和</w:t>
                              </w:r>
                              <w:r>
                                <w:rPr>
                                  <w:rFonts w:hint="eastAsia" w:ascii="仿宋_GB2312" w:hAnsi="仿宋_GB2312" w:eastAsia="仿宋_GB2312" w:cs="仿宋_GB2312"/>
                                  <w:b w:val="0"/>
                                  <w:bCs w:val="0"/>
                                  <w:spacing w:val="-3"/>
                                  <w:sz w:val="15"/>
                                  <w:szCs w:val="15"/>
                                </w:rPr>
                                <w:t>实施方案及资金来源，</w:t>
                              </w:r>
                              <w:r>
                                <w:rPr>
                                  <w:rFonts w:hint="eastAsia" w:ascii="仿宋_GB2312" w:hAnsi="仿宋_GB2312" w:eastAsia="仿宋_GB2312" w:cs="仿宋_GB2312"/>
                                  <w:b w:val="0"/>
                                  <w:bCs w:val="0"/>
                                  <w:spacing w:val="-3"/>
                                  <w:sz w:val="15"/>
                                  <w:szCs w:val="15"/>
                                  <w:lang w:val="en-US" w:eastAsia="zh-CN"/>
                                </w:rPr>
                                <w:t>按规定进行事前绩效评估且由主管部门审核后项目总投资300万元（含）以上的上</w:t>
                              </w:r>
                              <w:r>
                                <w:rPr>
                                  <w:rFonts w:hint="eastAsia" w:ascii="仿宋_GB2312" w:hAnsi="仿宋_GB2312" w:eastAsia="仿宋_GB2312" w:cs="仿宋_GB2312"/>
                                  <w:b w:val="0"/>
                                  <w:bCs w:val="0"/>
                                  <w:spacing w:val="-3"/>
                                  <w:sz w:val="15"/>
                                  <w:szCs w:val="15"/>
                                </w:rPr>
                                <w:t>报</w:t>
                              </w:r>
                              <w:r>
                                <w:rPr>
                                  <w:rFonts w:hint="eastAsia" w:ascii="仿宋_GB2312" w:hAnsi="仿宋_GB2312" w:eastAsia="仿宋_GB2312" w:cs="仿宋_GB2312"/>
                                  <w:b w:val="0"/>
                                  <w:bCs w:val="0"/>
                                  <w:spacing w:val="-3"/>
                                  <w:sz w:val="15"/>
                                  <w:szCs w:val="15"/>
                                  <w:lang w:val="en-US" w:eastAsia="zh-CN"/>
                                </w:rPr>
                                <w:t>县政府常务会研究后审批，</w:t>
                              </w:r>
                              <w:r>
                                <w:rPr>
                                  <w:rFonts w:hint="eastAsia" w:ascii="仿宋_GB2312" w:hAnsi="仿宋_GB2312" w:eastAsia="仿宋_GB2312" w:cs="仿宋_GB2312"/>
                                  <w:b w:val="0"/>
                                  <w:bCs w:val="0"/>
                                  <w:spacing w:val="-5"/>
                                  <w:sz w:val="15"/>
                                  <w:szCs w:val="15"/>
                                  <w:lang w:val="en-US" w:eastAsia="zh-CN"/>
                                </w:rPr>
                                <w:t>填报《政府投资项目决策审批表》。项目审议</w:t>
                              </w:r>
                              <w:r>
                                <w:rPr>
                                  <w:rFonts w:hint="eastAsia" w:ascii="仿宋_GB2312" w:hAnsi="仿宋_GB2312" w:eastAsia="仿宋_GB2312" w:cs="仿宋_GB2312"/>
                                  <w:b w:val="0"/>
                                  <w:bCs w:val="0"/>
                                  <w:spacing w:val="-5"/>
                                  <w:sz w:val="15"/>
                                  <w:szCs w:val="15"/>
                                </w:rPr>
                                <w:t>通</w:t>
                              </w:r>
                              <w:r>
                                <w:rPr>
                                  <w:rFonts w:hint="eastAsia" w:ascii="仿宋_GB2312" w:hAnsi="仿宋_GB2312" w:eastAsia="仿宋_GB2312" w:cs="仿宋_GB2312"/>
                                  <w:b w:val="0"/>
                                  <w:bCs w:val="0"/>
                                  <w:spacing w:val="0"/>
                                  <w:sz w:val="15"/>
                                  <w:szCs w:val="15"/>
                                </w:rPr>
                                <w:t>过后</w:t>
                              </w:r>
                              <w:r>
                                <w:rPr>
                                  <w:rFonts w:hint="eastAsia" w:ascii="仿宋_GB2312" w:hAnsi="仿宋_GB2312" w:eastAsia="仿宋_GB2312" w:cs="仿宋_GB2312"/>
                                  <w:b w:val="0"/>
                                  <w:bCs w:val="0"/>
                                  <w:spacing w:val="0"/>
                                  <w:sz w:val="15"/>
                                  <w:szCs w:val="15"/>
                                  <w:lang w:val="en-US" w:eastAsia="zh-CN"/>
                                </w:rPr>
                                <w:t>列入政府投资项目储备库</w:t>
                              </w:r>
                              <w:r>
                                <w:rPr>
                                  <w:rFonts w:hint="eastAsia" w:ascii="仿宋_GB2312" w:hAnsi="仿宋_GB2312" w:eastAsia="仿宋_GB2312" w:cs="仿宋_GB2312"/>
                                  <w:b w:val="0"/>
                                  <w:bCs w:val="0"/>
                                  <w:spacing w:val="0"/>
                                  <w:sz w:val="15"/>
                                  <w:szCs w:val="15"/>
                                </w:rPr>
                                <w:t>，</w:t>
                              </w:r>
                            </w:p>
                          </w:txbxContent>
                        </wps:txbx>
                        <wps:bodyPr upright="1"/>
                      </wps:wsp>
                      <wps:wsp>
                        <wps:cNvPr id="16" name="矩形 16"/>
                        <wps:cNvSpPr/>
                        <wps:spPr>
                          <a:xfrm>
                            <a:off x="7202" y="210077"/>
                            <a:ext cx="1387" cy="61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9867DD0">
                              <w:pPr>
                                <w:ind w:firstLine="180" w:firstLineChars="100"/>
                                <w:jc w:val="both"/>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前期工作</w:t>
                              </w:r>
                            </w:p>
                          </w:txbxContent>
                        </wps:txbx>
                        <wps:bodyPr upright="1"/>
                      </wps:wsp>
                      <wps:wsp>
                        <wps:cNvPr id="29" name="矩形 29"/>
                        <wps:cNvSpPr/>
                        <wps:spPr>
                          <a:xfrm>
                            <a:off x="9333" y="210069"/>
                            <a:ext cx="1618" cy="61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7CC902">
                              <w:pPr>
                                <w:keepNext w:val="0"/>
                                <w:keepLines w:val="0"/>
                                <w:pageBreakBefore w:val="0"/>
                                <w:widowControl w:val="0"/>
                                <w:kinsoku/>
                                <w:wordWrap/>
                                <w:overflowPunct/>
                                <w:topLinePunct w:val="0"/>
                                <w:bidi w:val="0"/>
                                <w:adjustRightInd/>
                                <w:snapToGrid/>
                                <w:spacing w:line="220" w:lineRule="exact"/>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建设单位及其主管部门</w:t>
                              </w:r>
                            </w:p>
                          </w:txbxContent>
                        </wps:txbx>
                        <wps:bodyPr upright="1"/>
                      </wps:wsp>
                      <wps:wsp>
                        <wps:cNvPr id="19" name="矩形 19"/>
                        <wps:cNvSpPr/>
                        <wps:spPr>
                          <a:xfrm>
                            <a:off x="9308" y="211076"/>
                            <a:ext cx="1630" cy="13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1800FAE">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县发改</w:t>
                              </w:r>
                              <w:r>
                                <w:rPr>
                                  <w:rFonts w:hint="eastAsia" w:ascii="仿宋_GB2312" w:eastAsia="仿宋_GB2312"/>
                                  <w:b w:val="0"/>
                                  <w:bCs/>
                                  <w:sz w:val="18"/>
                                  <w:szCs w:val="18"/>
                                </w:rPr>
                                <w:t>局</w:t>
                              </w:r>
                              <w:r>
                                <w:rPr>
                                  <w:rFonts w:hint="eastAsia" w:ascii="仿宋_GB2312" w:eastAsia="仿宋_GB2312"/>
                                  <w:b w:val="0"/>
                                  <w:bCs/>
                                  <w:sz w:val="18"/>
                                  <w:szCs w:val="18"/>
                                  <w:lang w:eastAsia="zh-CN"/>
                                </w:rPr>
                                <w:t>、</w:t>
                              </w:r>
                              <w:r>
                                <w:rPr>
                                  <w:rFonts w:hint="eastAsia" w:ascii="仿宋_GB2312" w:eastAsia="仿宋_GB2312"/>
                                  <w:b w:val="0"/>
                                  <w:bCs/>
                                  <w:sz w:val="18"/>
                                  <w:szCs w:val="18"/>
                                  <w:lang w:val="en-US" w:eastAsia="zh-CN"/>
                                </w:rPr>
                                <w:t>行政审批服务局、自然资源和规划局等有关部门、建设单位</w:t>
                              </w:r>
                            </w:p>
                          </w:txbxContent>
                        </wps:txbx>
                        <wps:bodyPr upright="1"/>
                      </wps:wsp>
                      <wps:wsp>
                        <wps:cNvPr id="23" name="矩形 23"/>
                        <wps:cNvSpPr/>
                        <wps:spPr>
                          <a:xfrm>
                            <a:off x="11536" y="210856"/>
                            <a:ext cx="4770" cy="119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3A55D304">
                              <w:pPr>
                                <w:keepNext w:val="0"/>
                                <w:keepLines w:val="0"/>
                                <w:pageBreakBefore w:val="0"/>
                                <w:widowControl w:val="0"/>
                                <w:kinsoku/>
                                <w:wordWrap/>
                                <w:overflowPunct/>
                                <w:topLinePunct w:val="0"/>
                                <w:bidi w:val="0"/>
                                <w:adjustRightInd/>
                                <w:snapToGrid/>
                                <w:spacing w:line="200" w:lineRule="exact"/>
                                <w:textAlignment w:val="auto"/>
                                <w:rPr>
                                  <w:rFonts w:hint="default" w:ascii="仿宋_GB2312" w:hAnsi="仿宋_GB2312" w:eastAsia="仿宋_GB2312" w:cs="仿宋_GB2312"/>
                                  <w:b w:val="0"/>
                                  <w:bCs w:val="0"/>
                                  <w:color w:val="auto"/>
                                  <w:sz w:val="15"/>
                                  <w:szCs w:val="15"/>
                                  <w:lang w:val="en-US"/>
                                </w:rPr>
                              </w:pPr>
                              <w:r>
                                <w:rPr>
                                  <w:rFonts w:hint="eastAsia" w:ascii="仿宋_GB2312" w:hAnsi="仿宋_GB2312" w:eastAsia="仿宋_GB2312" w:cs="仿宋_GB2312"/>
                                  <w:b w:val="0"/>
                                  <w:bCs w:val="0"/>
                                  <w:spacing w:val="0"/>
                                  <w:sz w:val="15"/>
                                  <w:szCs w:val="15"/>
                                  <w:lang w:val="en-US" w:eastAsia="zh-CN"/>
                                </w:rPr>
                                <w:t>项目列入计划后，建设单位应及时办理</w:t>
                              </w:r>
                              <w:r>
                                <w:rPr>
                                  <w:rFonts w:hint="eastAsia" w:ascii="仿宋_GB2312" w:hAnsi="仿宋_GB2312" w:eastAsia="仿宋_GB2312" w:cs="仿宋_GB2312"/>
                                  <w:b w:val="0"/>
                                  <w:bCs w:val="0"/>
                                  <w:spacing w:val="0"/>
                                  <w:sz w:val="15"/>
                                  <w:szCs w:val="15"/>
                                </w:rPr>
                                <w:t>用地预审与</w:t>
                              </w:r>
                              <w:r>
                                <w:rPr>
                                  <w:rFonts w:hint="eastAsia" w:ascii="仿宋_GB2312" w:hAnsi="仿宋_GB2312" w:eastAsia="仿宋_GB2312" w:cs="仿宋_GB2312"/>
                                  <w:b w:val="0"/>
                                  <w:bCs w:val="0"/>
                                  <w:spacing w:val="0"/>
                                  <w:sz w:val="15"/>
                                  <w:szCs w:val="15"/>
                                  <w:lang w:val="en-US" w:eastAsia="zh-CN"/>
                                </w:rPr>
                                <w:t>选</w:t>
                              </w:r>
                              <w:r>
                                <w:rPr>
                                  <w:rFonts w:hint="eastAsia" w:ascii="仿宋_GB2312" w:hAnsi="仿宋_GB2312" w:eastAsia="仿宋_GB2312" w:cs="仿宋_GB2312"/>
                                  <w:b w:val="0"/>
                                  <w:bCs w:val="0"/>
                                  <w:spacing w:val="0"/>
                                  <w:sz w:val="15"/>
                                  <w:szCs w:val="15"/>
                                </w:rPr>
                                <w:t>址意见</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能评等前期手续</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连同编制的可研、初步设计概算等资料</w:t>
                              </w:r>
                              <w:r>
                                <w:rPr>
                                  <w:rFonts w:hint="eastAsia" w:ascii="仿宋_GB2312" w:hAnsi="仿宋_GB2312" w:eastAsia="仿宋_GB2312" w:cs="仿宋_GB2312"/>
                                  <w:b w:val="0"/>
                                  <w:bCs w:val="0"/>
                                  <w:spacing w:val="0"/>
                                  <w:sz w:val="15"/>
                                  <w:szCs w:val="15"/>
                                </w:rPr>
                                <w:t>报</w:t>
                              </w:r>
                              <w:r>
                                <w:rPr>
                                  <w:rFonts w:hint="eastAsia" w:ascii="仿宋_GB2312" w:hAnsi="仿宋_GB2312" w:eastAsia="仿宋_GB2312" w:cs="仿宋_GB2312"/>
                                  <w:b w:val="0"/>
                                  <w:bCs w:val="0"/>
                                  <w:color w:val="auto"/>
                                  <w:spacing w:val="0"/>
                                  <w:sz w:val="15"/>
                                  <w:szCs w:val="15"/>
                                  <w:lang w:val="en-US" w:eastAsia="zh-CN"/>
                                </w:rPr>
                                <w:t>县</w:t>
                              </w:r>
                              <w:r>
                                <w:rPr>
                                  <w:rFonts w:hint="eastAsia" w:ascii="仿宋_GB2312" w:hAnsi="仿宋_GB2312" w:eastAsia="仿宋_GB2312" w:cs="仿宋_GB2312"/>
                                  <w:b w:val="0"/>
                                  <w:bCs w:val="0"/>
                                  <w:color w:val="auto"/>
                                  <w:spacing w:val="0"/>
                                  <w:sz w:val="15"/>
                                  <w:szCs w:val="15"/>
                                </w:rPr>
                                <w:t>发改局</w:t>
                              </w:r>
                              <w:r>
                                <w:rPr>
                                  <w:rFonts w:hint="eastAsia" w:ascii="仿宋_GB2312" w:hAnsi="仿宋_GB2312" w:eastAsia="仿宋_GB2312" w:cs="仿宋_GB2312"/>
                                  <w:b w:val="0"/>
                                  <w:bCs w:val="0"/>
                                  <w:color w:val="auto"/>
                                  <w:spacing w:val="0"/>
                                  <w:sz w:val="15"/>
                                  <w:szCs w:val="15"/>
                                  <w:lang w:val="en-US" w:eastAsia="zh-CN"/>
                                </w:rPr>
                                <w:t>或者其他有关部门</w:t>
                              </w:r>
                              <w:r>
                                <w:rPr>
                                  <w:rFonts w:hint="eastAsia" w:ascii="仿宋_GB2312" w:hAnsi="仿宋_GB2312" w:eastAsia="仿宋_GB2312" w:cs="仿宋_GB2312"/>
                                  <w:b w:val="0"/>
                                  <w:bCs w:val="0"/>
                                  <w:color w:val="auto"/>
                                  <w:spacing w:val="0"/>
                                  <w:sz w:val="15"/>
                                  <w:szCs w:val="15"/>
                                </w:rPr>
                                <w:t>审批。</w:t>
                              </w:r>
                              <w:r>
                                <w:rPr>
                                  <w:rFonts w:hint="eastAsia" w:ascii="仿宋_GB2312" w:hAnsi="仿宋_GB2312" w:eastAsia="仿宋_GB2312" w:cs="仿宋_GB2312"/>
                                  <w:b w:val="0"/>
                                  <w:bCs w:val="0"/>
                                  <w:color w:val="auto"/>
                                  <w:spacing w:val="0"/>
                                  <w:sz w:val="15"/>
                                  <w:szCs w:val="15"/>
                                  <w:lang w:val="en-US" w:eastAsia="zh-CN"/>
                                </w:rPr>
                                <w:t>县自然资源和规划局、住房和城乡建设局等要素保障部门按照各自职责提出</w:t>
                              </w:r>
                              <w:r>
                                <w:rPr>
                                  <w:rFonts w:hint="eastAsia" w:ascii="仿宋_GB2312" w:hAnsi="仿宋_GB2312" w:eastAsia="仿宋_GB2312" w:cs="仿宋_GB2312"/>
                                  <w:b w:val="0"/>
                                  <w:bCs w:val="0"/>
                                  <w:color w:val="auto"/>
                                  <w:sz w:val="15"/>
                                  <w:szCs w:val="15"/>
                                  <w:lang w:val="en-US" w:eastAsia="zh-CN"/>
                                </w:rPr>
                                <w:t>项目初审意见。项目自批准之日起，原则上3个月内完成前期工作并报送审批。</w:t>
                              </w:r>
                            </w:p>
                          </w:txbxContent>
                        </wps:txbx>
                        <wps:bodyPr upright="1"/>
                      </wps:wsp>
                      <wps:wsp>
                        <wps:cNvPr id="13" name="矩形 13"/>
                        <wps:cNvSpPr/>
                        <wps:spPr>
                          <a:xfrm>
                            <a:off x="7205" y="211314"/>
                            <a:ext cx="1430" cy="631"/>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EFEA8BE">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rPr>
                                <w:t>项目立项</w:t>
                              </w:r>
                              <w:r>
                                <w:rPr>
                                  <w:rFonts w:hint="eastAsia" w:ascii="仿宋_GB2312" w:eastAsia="仿宋_GB2312"/>
                                  <w:b w:val="0"/>
                                  <w:bCs/>
                                  <w:sz w:val="18"/>
                                  <w:szCs w:val="18"/>
                                  <w:lang w:val="en-US" w:eastAsia="zh-CN"/>
                                </w:rPr>
                                <w:t>审批（含概算）</w:t>
                              </w:r>
                            </w:p>
                          </w:txbxContent>
                        </wps:txbx>
                        <wps:bodyPr upright="1"/>
                      </wps:wsp>
                      <wps:wsp>
                        <wps:cNvPr id="12" name="矩形 12"/>
                        <wps:cNvSpPr/>
                        <wps:spPr>
                          <a:xfrm>
                            <a:off x="11534" y="212111"/>
                            <a:ext cx="4762" cy="14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E4DE28">
                              <w:pPr>
                                <w:keepNext w:val="0"/>
                                <w:keepLines w:val="0"/>
                                <w:pageBreakBefore w:val="0"/>
                                <w:widowControl w:val="0"/>
                                <w:kinsoku/>
                                <w:wordWrap/>
                                <w:overflowPunct/>
                                <w:topLinePunct w:val="0"/>
                                <w:bidi w:val="0"/>
                                <w:adjustRightInd/>
                                <w:snapToGrid/>
                                <w:spacing w:line="180" w:lineRule="exact"/>
                                <w:jc w:val="left"/>
                                <w:textAlignment w:val="auto"/>
                                <w:rPr>
                                  <w:color w:val="FF0000"/>
                                  <w:sz w:val="16"/>
                                  <w:szCs w:val="16"/>
                                  <w:highlight w:val="none"/>
                                </w:rPr>
                              </w:pPr>
                              <w:r>
                                <w:rPr>
                                  <w:rFonts w:hint="eastAsia" w:ascii="仿宋_GB2312" w:hAnsi="仿宋_GB2312" w:eastAsia="仿宋_GB2312" w:cs="仿宋_GB2312"/>
                                  <w:b w:val="0"/>
                                  <w:bCs w:val="0"/>
                                  <w:spacing w:val="0"/>
                                  <w:sz w:val="15"/>
                                  <w:szCs w:val="15"/>
                                </w:rPr>
                                <w:t>造价评审机构选取时</w:t>
                              </w:r>
                              <w:r>
                                <w:rPr>
                                  <w:rFonts w:hint="eastAsia" w:ascii="仿宋_GB2312" w:hAnsi="仿宋_GB2312" w:eastAsia="仿宋_GB2312" w:cs="仿宋_GB2312"/>
                                  <w:b w:val="0"/>
                                  <w:bCs w:val="0"/>
                                  <w:color w:val="auto"/>
                                  <w:spacing w:val="0"/>
                                  <w:sz w:val="15"/>
                                  <w:szCs w:val="15"/>
                                  <w:lang w:eastAsia="zh-CN"/>
                                </w:rPr>
                                <w:t>，</w:t>
                              </w:r>
                              <w:r>
                                <w:rPr>
                                  <w:rFonts w:hint="eastAsia" w:ascii="仿宋_GB2312" w:hAnsi="仿宋_GB2312" w:eastAsia="仿宋_GB2312" w:cs="仿宋_GB2312"/>
                                  <w:b w:val="0"/>
                                  <w:bCs w:val="0"/>
                                  <w:color w:val="auto"/>
                                  <w:spacing w:val="0"/>
                                  <w:sz w:val="15"/>
                                  <w:szCs w:val="15"/>
                                  <w:lang w:val="en-US" w:eastAsia="zh-CN"/>
                                </w:rPr>
                                <w:t>1000万元以上项目</w:t>
                              </w:r>
                              <w:r>
                                <w:rPr>
                                  <w:rFonts w:hint="eastAsia" w:ascii="仿宋_GB2312" w:hAnsi="仿宋_GB2312" w:eastAsia="仿宋_GB2312" w:cs="仿宋_GB2312"/>
                                  <w:b w:val="0"/>
                                  <w:bCs w:val="0"/>
                                  <w:color w:val="auto"/>
                                  <w:spacing w:val="0"/>
                                  <w:sz w:val="15"/>
                                  <w:szCs w:val="15"/>
                                </w:rPr>
                                <w:t>应</w:t>
                              </w:r>
                              <w:r>
                                <w:rPr>
                                  <w:rFonts w:hint="eastAsia" w:ascii="仿宋_GB2312" w:hAnsi="仿宋_GB2312" w:eastAsia="仿宋_GB2312" w:cs="仿宋_GB2312"/>
                                  <w:b w:val="0"/>
                                  <w:bCs w:val="0"/>
                                  <w:spacing w:val="0"/>
                                  <w:sz w:val="15"/>
                                  <w:szCs w:val="15"/>
                                </w:rPr>
                                <w:t>邀请</w:t>
                              </w:r>
                              <w:r>
                                <w:rPr>
                                  <w:rFonts w:hint="eastAsia" w:ascii="仿宋_GB2312" w:hAnsi="仿宋_GB2312" w:eastAsia="仿宋_GB2312" w:cs="仿宋_GB2312"/>
                                  <w:b w:val="0"/>
                                  <w:bCs w:val="0"/>
                                  <w:spacing w:val="0"/>
                                  <w:sz w:val="15"/>
                                  <w:szCs w:val="15"/>
                                  <w:lang w:val="en-US" w:eastAsia="zh-CN"/>
                                </w:rPr>
                                <w:t>主管部门、县</w:t>
                              </w:r>
                              <w:r>
                                <w:rPr>
                                  <w:rFonts w:hint="eastAsia" w:ascii="仿宋_GB2312" w:hAnsi="仿宋_GB2312" w:eastAsia="仿宋_GB2312" w:cs="仿宋_GB2312"/>
                                  <w:b w:val="0"/>
                                  <w:bCs w:val="0"/>
                                  <w:spacing w:val="0"/>
                                  <w:sz w:val="15"/>
                                  <w:szCs w:val="15"/>
                                </w:rPr>
                                <w:t>财政</w:t>
                              </w:r>
                              <w:r>
                                <w:rPr>
                                  <w:rFonts w:hint="eastAsia" w:ascii="仿宋_GB2312" w:hAnsi="仿宋_GB2312" w:eastAsia="仿宋_GB2312" w:cs="仿宋_GB2312"/>
                                  <w:b w:val="0"/>
                                  <w:bCs w:val="0"/>
                                  <w:spacing w:val="0"/>
                                  <w:sz w:val="15"/>
                                  <w:szCs w:val="15"/>
                                  <w:lang w:val="en-US" w:eastAsia="zh-CN"/>
                                </w:rPr>
                                <w:t>局和县</w:t>
                              </w:r>
                              <w:r>
                                <w:rPr>
                                  <w:rFonts w:hint="eastAsia" w:ascii="仿宋_GB2312" w:hAnsi="仿宋_GB2312" w:eastAsia="仿宋_GB2312" w:cs="仿宋_GB2312"/>
                                  <w:b w:val="0"/>
                                  <w:bCs w:val="0"/>
                                  <w:spacing w:val="0"/>
                                  <w:sz w:val="15"/>
                                  <w:szCs w:val="15"/>
                                </w:rPr>
                                <w:t>人大代表</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政协委员全程监督</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原则上</w:t>
                              </w:r>
                              <w:r>
                                <w:rPr>
                                  <w:rFonts w:hint="eastAsia" w:ascii="仿宋_GB2312" w:hAnsi="仿宋_GB2312" w:eastAsia="仿宋_GB2312" w:cs="仿宋_GB2312"/>
                                  <w:b w:val="0"/>
                                  <w:bCs w:val="0"/>
                                  <w:spacing w:val="0"/>
                                  <w:sz w:val="15"/>
                                  <w:szCs w:val="15"/>
                                  <w:lang w:val="en-US" w:eastAsia="zh-CN"/>
                                </w:rPr>
                                <w:t>投资</w:t>
                              </w:r>
                              <w:r>
                                <w:rPr>
                                  <w:rFonts w:hint="eastAsia" w:ascii="仿宋_GB2312" w:hAnsi="仿宋_GB2312" w:eastAsia="仿宋_GB2312" w:cs="仿宋_GB2312"/>
                                  <w:b w:val="0"/>
                                  <w:bCs w:val="0"/>
                                  <w:spacing w:val="0"/>
                                  <w:sz w:val="15"/>
                                  <w:szCs w:val="15"/>
                                </w:rPr>
                                <w:t>2000万元以上项目由</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级分管领导组织公开选取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5000万元以上项目报请</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委、</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政府主要领导或委托有关领导组织选取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color w:val="000000"/>
                                  <w:spacing w:val="0"/>
                                  <w:sz w:val="15"/>
                                  <w:szCs w:val="15"/>
                                  <w:lang w:val="en-US" w:eastAsia="zh-CN"/>
                                </w:rPr>
                                <w:t>1000</w:t>
                              </w:r>
                              <w:r>
                                <w:rPr>
                                  <w:rFonts w:hint="eastAsia" w:ascii="仿宋_GB2312" w:hAnsi="仿宋_GB2312" w:eastAsia="仿宋_GB2312" w:cs="仿宋_GB2312"/>
                                  <w:b w:val="0"/>
                                  <w:bCs w:val="0"/>
                                  <w:spacing w:val="0"/>
                                  <w:sz w:val="15"/>
                                  <w:szCs w:val="15"/>
                                </w:rPr>
                                <w:t>万元以下的项目选取1家机构编制，</w:t>
                              </w:r>
                              <w:r>
                                <w:rPr>
                                  <w:rFonts w:hint="eastAsia" w:ascii="仿宋_GB2312" w:hAnsi="仿宋_GB2312" w:eastAsia="仿宋_GB2312" w:cs="仿宋_GB2312"/>
                                  <w:b w:val="0"/>
                                  <w:bCs w:val="0"/>
                                  <w:spacing w:val="0"/>
                                  <w:sz w:val="15"/>
                                  <w:szCs w:val="15"/>
                                  <w:lang w:val="en-US" w:eastAsia="zh-CN"/>
                                </w:rPr>
                                <w:t>10</w:t>
                              </w:r>
                              <w:r>
                                <w:rPr>
                                  <w:rFonts w:hint="eastAsia" w:ascii="仿宋_GB2312" w:hAnsi="仿宋_GB2312" w:eastAsia="仿宋_GB2312" w:cs="仿宋_GB2312"/>
                                  <w:b w:val="0"/>
                                  <w:bCs w:val="0"/>
                                  <w:spacing w:val="0"/>
                                  <w:sz w:val="15"/>
                                  <w:szCs w:val="15"/>
                                </w:rPr>
                                <w:t>00万元（含）及以上的项目选取2家机构编制</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从中确定合理造价金额。</w:t>
                              </w:r>
                            </w:p>
                            <w:p w14:paraId="16618085">
                              <w:pPr>
                                <w:keepNext w:val="0"/>
                                <w:keepLines w:val="0"/>
                                <w:pageBreakBefore w:val="0"/>
                                <w:widowControl w:val="0"/>
                                <w:kinsoku/>
                                <w:wordWrap/>
                                <w:overflowPunct/>
                                <w:topLinePunct w:val="0"/>
                                <w:bidi w:val="0"/>
                                <w:adjustRightInd/>
                                <w:snapToGrid/>
                                <w:spacing w:line="180" w:lineRule="exact"/>
                                <w:jc w:val="left"/>
                                <w:textAlignment w:val="auto"/>
                                <w:rPr>
                                  <w:rFonts w:hint="eastAsia" w:ascii="仿宋_GB2312" w:hAnsi="仿宋_GB2312" w:eastAsia="仿宋_GB2312" w:cs="仿宋_GB2312"/>
                                  <w:b w:val="0"/>
                                  <w:bCs w:val="0"/>
                                  <w:spacing w:val="0"/>
                                  <w:sz w:val="15"/>
                                  <w:szCs w:val="15"/>
                                </w:rPr>
                              </w:pPr>
                            </w:p>
                            <w:p w14:paraId="325AAB23">
                              <w:pPr>
                                <w:jc w:val="left"/>
                              </w:pPr>
                            </w:p>
                          </w:txbxContent>
                        </wps:txbx>
                        <wps:bodyPr upright="1"/>
                      </wps:wsp>
                      <wps:wsp>
                        <wps:cNvPr id="18" name="矩形 18"/>
                        <wps:cNvSpPr/>
                        <wps:spPr>
                          <a:xfrm>
                            <a:off x="7173" y="212486"/>
                            <a:ext cx="1498" cy="34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0CF44A">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造价评审</w:t>
                              </w:r>
                            </w:p>
                            <w:p w14:paraId="41D9673F"/>
                          </w:txbxContent>
                        </wps:txbx>
                        <wps:bodyPr upright="1"/>
                      </wps:wsp>
                      <wps:wsp>
                        <wps:cNvPr id="22" name="矩形 22"/>
                        <wps:cNvSpPr/>
                        <wps:spPr>
                          <a:xfrm>
                            <a:off x="9332" y="212530"/>
                            <a:ext cx="1649" cy="4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381EC1">
                              <w:pPr>
                                <w:spacing w:line="200" w:lineRule="exact"/>
                                <w:jc w:val="center"/>
                                <w:rPr>
                                  <w:rFonts w:hint="eastAsia" w:ascii="仿宋_GB2312" w:hAnsi="仿宋" w:eastAsia="仿宋_GB2312" w:cs="仿宋"/>
                                  <w:b w:val="0"/>
                                  <w:bCs/>
                                  <w:color w:val="000000"/>
                                  <w:sz w:val="18"/>
                                  <w:szCs w:val="18"/>
                                  <w:lang w:eastAsia="zh-CN"/>
                                </w:rPr>
                              </w:pPr>
                              <w:r>
                                <w:rPr>
                                  <w:rFonts w:hint="eastAsia" w:ascii="仿宋_GB2312" w:hAnsi="仿宋" w:eastAsia="仿宋_GB2312" w:cs="仿宋"/>
                                  <w:b w:val="0"/>
                                  <w:bCs/>
                                  <w:color w:val="000000"/>
                                  <w:sz w:val="18"/>
                                  <w:szCs w:val="18"/>
                                </w:rPr>
                                <w:t>建设单位</w:t>
                              </w:r>
                            </w:p>
                            <w:p w14:paraId="3C46E34D"/>
                          </w:txbxContent>
                        </wps:txbx>
                        <wps:bodyPr upright="1"/>
                      </wps:wsp>
                      <wps:wsp>
                        <wps:cNvPr id="21" name="矩形 21"/>
                        <wps:cNvSpPr/>
                        <wps:spPr>
                          <a:xfrm>
                            <a:off x="11537" y="213362"/>
                            <a:ext cx="4757" cy="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37D537">
                              <w:pPr>
                                <w:keepNext w:val="0"/>
                                <w:keepLines w:val="0"/>
                                <w:pageBreakBefore w:val="0"/>
                                <w:widowControl w:val="0"/>
                                <w:kinsoku/>
                                <w:wordWrap/>
                                <w:overflowPunct/>
                                <w:topLinePunct w:val="0"/>
                                <w:bidi w:val="0"/>
                                <w:adjustRightInd/>
                                <w:snapToGrid/>
                                <w:spacing w:line="180" w:lineRule="exact"/>
                                <w:jc w:val="both"/>
                                <w:textAlignment w:val="auto"/>
                                <w:rPr>
                                  <w:rFonts w:hint="default" w:ascii="仿宋_GB2312" w:hAnsi="仿宋" w:eastAsia="仿宋_GB2312" w:cs="仿宋"/>
                                  <w:b w:val="0"/>
                                  <w:bCs/>
                                  <w:sz w:val="15"/>
                                  <w:szCs w:val="15"/>
                                  <w:lang w:val="en-US" w:eastAsia="zh-CN"/>
                                </w:rPr>
                              </w:pPr>
                              <w:r>
                                <w:rPr>
                                  <w:rFonts w:hint="eastAsia" w:ascii="仿宋_GB2312" w:hAnsi="仿宋" w:eastAsia="仿宋_GB2312" w:cs="仿宋"/>
                                  <w:b w:val="0"/>
                                  <w:bCs/>
                                  <w:sz w:val="15"/>
                                  <w:szCs w:val="15"/>
                                </w:rPr>
                                <w:t>建设单位提供相关材料到</w:t>
                              </w:r>
                              <w:r>
                                <w:rPr>
                                  <w:rFonts w:hint="eastAsia" w:ascii="仿宋_GB2312" w:hAnsi="仿宋" w:eastAsia="仿宋_GB2312" w:cs="仿宋"/>
                                  <w:b w:val="0"/>
                                  <w:bCs/>
                                  <w:sz w:val="15"/>
                                  <w:szCs w:val="15"/>
                                  <w:lang w:val="en-US" w:eastAsia="zh-CN"/>
                                </w:rPr>
                                <w:t>县</w:t>
                              </w:r>
                              <w:r>
                                <w:rPr>
                                  <w:rFonts w:hint="eastAsia" w:ascii="仿宋_GB2312" w:hAnsi="仿宋" w:eastAsia="仿宋_GB2312" w:cs="仿宋"/>
                                  <w:b w:val="0"/>
                                  <w:bCs/>
                                  <w:sz w:val="15"/>
                                  <w:szCs w:val="15"/>
                                </w:rPr>
                                <w:t>财政局进行项目</w:t>
                              </w:r>
                              <w:r>
                                <w:rPr>
                                  <w:rFonts w:hint="eastAsia" w:ascii="仿宋_GB2312" w:hAnsi="仿宋" w:eastAsia="仿宋_GB2312" w:cs="仿宋"/>
                                  <w:b w:val="0"/>
                                  <w:bCs/>
                                  <w:sz w:val="15"/>
                                  <w:szCs w:val="15"/>
                                  <w:lang w:val="en-US" w:eastAsia="zh-CN"/>
                                </w:rPr>
                                <w:t>预算评审，预算评审结果作为安排预算的重要参考</w:t>
                              </w:r>
                              <w:r>
                                <w:rPr>
                                  <w:rFonts w:hint="eastAsia" w:ascii="仿宋_GB2312" w:hAnsi="仿宋" w:eastAsia="仿宋_GB2312" w:cs="仿宋"/>
                                  <w:b w:val="0"/>
                                  <w:bCs/>
                                  <w:sz w:val="15"/>
                                  <w:szCs w:val="15"/>
                                </w:rPr>
                                <w:t>。</w:t>
                              </w:r>
                              <w:r>
                                <w:rPr>
                                  <w:rFonts w:hint="eastAsia" w:ascii="仿宋_GB2312" w:hAnsi="仿宋" w:eastAsia="仿宋_GB2312" w:cs="仿宋"/>
                                  <w:b w:val="0"/>
                                  <w:bCs/>
                                  <w:sz w:val="15"/>
                                  <w:szCs w:val="15"/>
                                  <w:lang w:val="en-US" w:eastAsia="zh-CN"/>
                                </w:rPr>
                                <w:t>建设单位将项目纳入预算编报范围，通过“预算管理一体化系统”与部门预算、项目绩效目标同步编报、同步审核、同步批复。</w:t>
                              </w:r>
                            </w:p>
                            <w:p w14:paraId="5466A6A6">
                              <w:pPr>
                                <w:rPr>
                                  <w:b/>
                                  <w:bCs w:val="0"/>
                                  <w:sz w:val="15"/>
                                  <w:szCs w:val="15"/>
                                </w:rPr>
                              </w:pPr>
                            </w:p>
                          </w:txbxContent>
                        </wps:txbx>
                        <wps:bodyPr upright="1"/>
                      </wps:wsp>
                      <wps:wsp>
                        <wps:cNvPr id="10" name="矩形 10"/>
                        <wps:cNvSpPr/>
                        <wps:spPr>
                          <a:xfrm>
                            <a:off x="9332" y="213249"/>
                            <a:ext cx="1635" cy="58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62211E">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县</w:t>
                              </w:r>
                              <w:r>
                                <w:rPr>
                                  <w:rFonts w:hint="eastAsia" w:ascii="仿宋_GB2312" w:hAnsi="仿宋" w:eastAsia="仿宋_GB2312" w:cs="仿宋"/>
                                  <w:b w:val="0"/>
                                  <w:bCs/>
                                  <w:color w:val="000000"/>
                                  <w:sz w:val="18"/>
                                  <w:szCs w:val="18"/>
                                </w:rPr>
                                <w:t>财政局</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建设单位、主管部门</w:t>
                              </w:r>
                            </w:p>
                            <w:p w14:paraId="01EF7C81">
                              <w:pPr>
                                <w:rPr>
                                  <w:rFonts w:hint="default"/>
                                  <w:lang w:val="en-US" w:eastAsia="zh-CN"/>
                                </w:rPr>
                              </w:pPr>
                            </w:p>
                          </w:txbxContent>
                        </wps:txbx>
                        <wps:bodyPr upright="1"/>
                      </wps:wsp>
                      <wps:wsp>
                        <wps:cNvPr id="28" name="矩形 28"/>
                        <wps:cNvSpPr/>
                        <wps:spPr>
                          <a:xfrm>
                            <a:off x="7200" y="213337"/>
                            <a:ext cx="1470" cy="5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C219B4">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eastAsia="仿宋_GB2312"/>
                                  <w:b w:val="0"/>
                                  <w:bCs/>
                                  <w:sz w:val="18"/>
                                  <w:szCs w:val="18"/>
                                  <w:lang w:val="en-US" w:eastAsia="zh-CN"/>
                                </w:rPr>
                              </w:pPr>
                              <w:r>
                                <w:rPr>
                                  <w:rFonts w:hint="eastAsia" w:ascii="仿宋_GB2312" w:eastAsia="仿宋_GB2312"/>
                                  <w:b w:val="0"/>
                                  <w:bCs/>
                                  <w:sz w:val="18"/>
                                  <w:szCs w:val="18"/>
                                  <w:lang w:val="en-US" w:eastAsia="zh-CN"/>
                                </w:rPr>
                                <w:t>预算评审、</w:t>
                              </w:r>
                            </w:p>
                            <w:p w14:paraId="3558A622">
                              <w:pPr>
                                <w:keepNext w:val="0"/>
                                <w:keepLines w:val="0"/>
                                <w:pageBreakBefore w:val="0"/>
                                <w:widowControl w:val="0"/>
                                <w:kinsoku/>
                                <w:wordWrap/>
                                <w:overflowPunct/>
                                <w:topLinePunct w:val="0"/>
                                <w:bidi w:val="0"/>
                                <w:adjustRightInd/>
                                <w:snapToGrid/>
                                <w:spacing w:line="200" w:lineRule="exact"/>
                                <w:ind w:firstLine="180" w:firstLineChars="100"/>
                                <w:jc w:val="both"/>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预算编审</w:t>
                              </w:r>
                            </w:p>
                            <w:p w14:paraId="7F725E01">
                              <w:pPr>
                                <w:rPr>
                                  <w:rFonts w:hint="default"/>
                                  <w:lang w:val="en-US" w:eastAsia="zh-CN"/>
                                </w:rPr>
                              </w:pPr>
                            </w:p>
                          </w:txbxContent>
                        </wps:txbx>
                        <wps:bodyPr upright="1"/>
                      </wps:wsp>
                      <wps:wsp>
                        <wps:cNvPr id="37" name="矩形 37"/>
                        <wps:cNvSpPr/>
                        <wps:spPr>
                          <a:xfrm>
                            <a:off x="7157" y="214298"/>
                            <a:ext cx="1534" cy="56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F618D62">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选招标代理、编制文件</w:t>
                              </w:r>
                            </w:p>
                            <w:p w14:paraId="7D93B0F1">
                              <w:pPr>
                                <w:rPr>
                                  <w:rFonts w:hint="default"/>
                                  <w:lang w:val="en-US" w:eastAsia="zh-CN"/>
                                </w:rPr>
                              </w:pPr>
                            </w:p>
                          </w:txbxContent>
                        </wps:txbx>
                        <wps:bodyPr upright="1"/>
                      </wps:wsp>
                      <wps:wsp>
                        <wps:cNvPr id="40" name="矩形 40"/>
                        <wps:cNvSpPr/>
                        <wps:spPr>
                          <a:xfrm>
                            <a:off x="9304" y="214271"/>
                            <a:ext cx="1702" cy="59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55F476B">
                              <w:pPr>
                                <w:spacing w:line="200" w:lineRule="exact"/>
                                <w:jc w:val="center"/>
                                <w:rPr>
                                  <w:rFonts w:hint="eastAsia" w:ascii="仿宋_GB2312" w:hAnsi="仿宋_GB2312" w:eastAsia="仿宋_GB2312" w:cs="仿宋_GB2312"/>
                                  <w:b w:val="0"/>
                                  <w:bCs w:val="0"/>
                                  <w:color w:val="000000"/>
                                  <w:sz w:val="18"/>
                                  <w:szCs w:val="18"/>
                                </w:rPr>
                              </w:pPr>
                              <w:r>
                                <w:rPr>
                                  <w:rFonts w:hint="eastAsia" w:ascii="仿宋_GB2312" w:hAnsi="仿宋_GB2312" w:eastAsia="仿宋_GB2312" w:cs="仿宋_GB2312"/>
                                  <w:b w:val="0"/>
                                  <w:bCs/>
                                  <w:color w:val="000000"/>
                                  <w:sz w:val="18"/>
                                  <w:szCs w:val="18"/>
                                  <w:lang w:val="en-US" w:eastAsia="zh-CN"/>
                                </w:rPr>
                                <w:t>建设单位及招标代</w:t>
                              </w:r>
                              <w:r>
                                <w:rPr>
                                  <w:rFonts w:hint="eastAsia" w:ascii="仿宋_GB2312" w:hAnsi="仿宋_GB2312" w:eastAsia="仿宋_GB2312" w:cs="仿宋_GB2312"/>
                                  <w:b w:val="0"/>
                                  <w:bCs w:val="0"/>
                                  <w:spacing w:val="-9"/>
                                  <w:sz w:val="18"/>
                                  <w:szCs w:val="18"/>
                                </w:rPr>
                                <w:t>理机构、</w:t>
                              </w:r>
                              <w:r>
                                <w:rPr>
                                  <w:rFonts w:hint="eastAsia" w:ascii="仿宋_GB2312" w:hAnsi="仿宋_GB2312" w:eastAsia="仿宋_GB2312" w:cs="仿宋_GB2312"/>
                                  <w:b w:val="0"/>
                                  <w:bCs w:val="0"/>
                                  <w:spacing w:val="-9"/>
                                  <w:sz w:val="18"/>
                                  <w:szCs w:val="18"/>
                                  <w:lang w:val="en-US" w:eastAsia="zh-CN"/>
                                </w:rPr>
                                <w:t>县</w:t>
                              </w:r>
                              <w:r>
                                <w:rPr>
                                  <w:rFonts w:hint="eastAsia" w:ascii="仿宋_GB2312" w:hAnsi="仿宋_GB2312" w:eastAsia="仿宋_GB2312" w:cs="仿宋_GB2312"/>
                                  <w:b w:val="0"/>
                                  <w:bCs w:val="0"/>
                                  <w:spacing w:val="-9"/>
                                  <w:sz w:val="18"/>
                                  <w:szCs w:val="18"/>
                                </w:rPr>
                                <w:t>司法局</w:t>
                              </w:r>
                            </w:p>
                            <w:p w14:paraId="5ABDE37B">
                              <w:pPr>
                                <w:rPr>
                                  <w:rFonts w:hint="default"/>
                                  <w:lang w:val="en-US" w:eastAsia="zh-CN"/>
                                </w:rPr>
                              </w:pPr>
                            </w:p>
                          </w:txbxContent>
                        </wps:txbx>
                        <wps:bodyPr upright="1"/>
                      </wps:wsp>
                      <wps:wsp>
                        <wps:cNvPr id="38" name="矩形 38"/>
                        <wps:cNvSpPr/>
                        <wps:spPr>
                          <a:xfrm>
                            <a:off x="9300" y="215088"/>
                            <a:ext cx="1698" cy="588"/>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4F2133D">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投标人、招标代理机构、评标委员会</w:t>
                              </w:r>
                            </w:p>
                          </w:txbxContent>
                        </wps:txbx>
                        <wps:bodyPr upright="1"/>
                      </wps:wsp>
                      <wps:wsp>
                        <wps:cNvPr id="39" name="矩形 39"/>
                        <wps:cNvSpPr/>
                        <wps:spPr>
                          <a:xfrm>
                            <a:off x="11538" y="215084"/>
                            <a:ext cx="4811" cy="54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615487">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rPr>
                                <w:t>投标人通过</w:t>
                              </w:r>
                              <w:r>
                                <w:rPr>
                                  <w:rFonts w:hint="eastAsia" w:ascii="仿宋_GB2312" w:hAnsi="仿宋_GB2312" w:eastAsia="仿宋_GB2312" w:cs="仿宋_GB2312"/>
                                  <w:b w:val="0"/>
                                  <w:bCs w:val="0"/>
                                  <w:spacing w:val="2"/>
                                  <w:sz w:val="15"/>
                                  <w:szCs w:val="15"/>
                                  <w:lang w:val="en-US" w:eastAsia="zh-CN"/>
                                </w:rPr>
                                <w:t>冠县</w:t>
                              </w:r>
                              <w:r>
                                <w:rPr>
                                  <w:rFonts w:hint="eastAsia" w:ascii="仿宋_GB2312" w:hAnsi="仿宋_GB2312" w:eastAsia="仿宋_GB2312" w:cs="仿宋_GB2312"/>
                                  <w:b w:val="0"/>
                                  <w:bCs w:val="0"/>
                                  <w:spacing w:val="2"/>
                                  <w:sz w:val="15"/>
                                  <w:szCs w:val="15"/>
                                </w:rPr>
                                <w:t>公共资源</w:t>
                              </w:r>
                              <w:r>
                                <w:rPr>
                                  <w:rFonts w:hint="eastAsia" w:ascii="仿宋_GB2312" w:hAnsi="仿宋_GB2312" w:eastAsia="仿宋_GB2312" w:cs="仿宋_GB2312"/>
                                  <w:b w:val="0"/>
                                  <w:bCs w:val="0"/>
                                  <w:spacing w:val="2"/>
                                  <w:sz w:val="15"/>
                                  <w:szCs w:val="15"/>
                                  <w:lang w:val="en-US" w:eastAsia="zh-CN"/>
                                </w:rPr>
                                <w:t>交易中心</w:t>
                              </w:r>
                              <w:r>
                                <w:rPr>
                                  <w:rFonts w:hint="eastAsia" w:ascii="仿宋_GB2312" w:hAnsi="仿宋_GB2312" w:eastAsia="仿宋_GB2312" w:cs="仿宋_GB2312"/>
                                  <w:b w:val="0"/>
                                  <w:bCs w:val="0"/>
                                  <w:spacing w:val="2"/>
                                  <w:sz w:val="15"/>
                                  <w:szCs w:val="15"/>
                                </w:rPr>
                                <w:t>交易系统进行网上投标</w:t>
                              </w:r>
                              <w:r>
                                <w:rPr>
                                  <w:rFonts w:hint="eastAsia" w:ascii="仿宋_GB2312" w:hAnsi="仿宋_GB2312" w:eastAsia="仿宋_GB2312" w:cs="仿宋_GB2312"/>
                                  <w:b w:val="0"/>
                                  <w:bCs w:val="0"/>
                                  <w:spacing w:val="2"/>
                                  <w:sz w:val="15"/>
                                  <w:szCs w:val="15"/>
                                  <w:lang w:eastAsia="zh-CN"/>
                                </w:rPr>
                                <w:t>。</w:t>
                              </w:r>
                              <w:r>
                                <w:rPr>
                                  <w:rFonts w:hint="eastAsia" w:ascii="仿宋_GB2312" w:hAnsi="仿宋_GB2312" w:eastAsia="仿宋_GB2312" w:cs="仿宋_GB2312"/>
                                  <w:b w:val="0"/>
                                  <w:bCs w:val="0"/>
                                  <w:spacing w:val="2"/>
                                  <w:sz w:val="15"/>
                                  <w:szCs w:val="15"/>
                                </w:rPr>
                                <w:t>招标</w:t>
                              </w:r>
                              <w:r>
                                <w:rPr>
                                  <w:rFonts w:hint="eastAsia" w:ascii="仿宋_GB2312" w:hAnsi="仿宋_GB2312" w:eastAsia="仿宋_GB2312" w:cs="仿宋_GB2312"/>
                                  <w:b w:val="0"/>
                                  <w:bCs w:val="0"/>
                                  <w:spacing w:val="2"/>
                                  <w:sz w:val="15"/>
                                  <w:szCs w:val="15"/>
                                  <w:lang w:val="en-US" w:eastAsia="zh-CN"/>
                                </w:rPr>
                                <w:t>代理机构协助评标委员会查询投标人信用记录。</w:t>
                              </w:r>
                            </w:p>
                          </w:txbxContent>
                        </wps:txbx>
                        <wps:bodyPr upright="1"/>
                      </wps:wsp>
                      <wps:wsp>
                        <wps:cNvPr id="41" name="矩形 41"/>
                        <wps:cNvSpPr/>
                        <wps:spPr>
                          <a:xfrm>
                            <a:off x="7218" y="215178"/>
                            <a:ext cx="1440" cy="54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D5DA8A">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网上投标、信用审查</w:t>
                              </w:r>
                            </w:p>
                          </w:txbxContent>
                        </wps:txbx>
                        <wps:bodyPr upright="1"/>
                      </wps:wsp>
                      <wps:wsp>
                        <wps:cNvPr id="44" name="矩形 44"/>
                        <wps:cNvSpPr/>
                        <wps:spPr>
                          <a:xfrm>
                            <a:off x="11537" y="215675"/>
                            <a:ext cx="4811" cy="773"/>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DCF9A0">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000000"/>
                                  <w:spacing w:val="-6"/>
                                  <w:sz w:val="15"/>
                                  <w:szCs w:val="15"/>
                                  <w:lang w:val="en-US" w:eastAsia="zh-CN"/>
                                </w:rPr>
                              </w:pPr>
                              <w:r>
                                <w:rPr>
                                  <w:rFonts w:hint="eastAsia" w:ascii="仿宋_GB2312" w:hAnsi="仿宋_GB2312" w:eastAsia="仿宋_GB2312" w:cs="仿宋_GB2312"/>
                                  <w:b w:val="0"/>
                                  <w:bCs w:val="0"/>
                                  <w:spacing w:val="-6"/>
                                  <w:sz w:val="15"/>
                                  <w:szCs w:val="15"/>
                                  <w:lang w:val="en-US" w:eastAsia="zh-CN"/>
                                </w:rPr>
                                <w:t>建设单位依法从省评审专家库中抽取评审专家，</w:t>
                              </w:r>
                              <w:r>
                                <w:rPr>
                                  <w:rFonts w:hint="eastAsia" w:ascii="仿宋_GB2312" w:hAnsi="仿宋_GB2312" w:eastAsia="仿宋_GB2312" w:cs="仿宋_GB2312"/>
                                  <w:b w:val="0"/>
                                  <w:bCs w:val="0"/>
                                  <w:spacing w:val="-6"/>
                                  <w:sz w:val="15"/>
                                  <w:szCs w:val="15"/>
                                </w:rPr>
                                <w:t>按程序依法开标、评标、定标，并进行结果公示</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公示期不少于3日</w:t>
                              </w:r>
                              <w:r>
                                <w:rPr>
                                  <w:rFonts w:hint="eastAsia" w:ascii="仿宋_GB2312" w:hAnsi="仿宋_GB2312" w:eastAsia="仿宋_GB2312" w:cs="仿宋_GB2312"/>
                                  <w:b w:val="0"/>
                                  <w:bCs w:val="0"/>
                                  <w:spacing w:val="-6"/>
                                  <w:sz w:val="15"/>
                                  <w:szCs w:val="15"/>
                                </w:rPr>
                                <w:t>。 公示结束后，</w:t>
                              </w:r>
                              <w:r>
                                <w:rPr>
                                  <w:rFonts w:hint="eastAsia" w:ascii="仿宋_GB2312" w:hAnsi="仿宋_GB2312" w:eastAsia="仿宋_GB2312" w:cs="仿宋_GB2312"/>
                                  <w:b w:val="0"/>
                                  <w:bCs w:val="0"/>
                                  <w:spacing w:val="-6"/>
                                  <w:sz w:val="15"/>
                                  <w:szCs w:val="15"/>
                                  <w:lang w:val="en-US" w:eastAsia="zh-CN"/>
                                </w:rPr>
                                <w:t>建设单位</w:t>
                              </w:r>
                              <w:r>
                                <w:rPr>
                                  <w:rFonts w:hint="eastAsia" w:ascii="仿宋_GB2312" w:hAnsi="仿宋_GB2312" w:eastAsia="仿宋_GB2312" w:cs="仿宋_GB2312"/>
                                  <w:b w:val="0"/>
                                  <w:bCs w:val="0"/>
                                  <w:spacing w:val="-6"/>
                                  <w:sz w:val="15"/>
                                  <w:szCs w:val="15"/>
                                </w:rPr>
                                <w:t>向中标人签发中标通知书，</w:t>
                              </w:r>
                              <w:r>
                                <w:rPr>
                                  <w:rFonts w:hint="eastAsia" w:ascii="仿宋_GB2312" w:hAnsi="仿宋_GB2312" w:eastAsia="仿宋_GB2312" w:cs="仿宋_GB2312"/>
                                  <w:b w:val="0"/>
                                  <w:bCs w:val="0"/>
                                  <w:spacing w:val="-6"/>
                                  <w:sz w:val="15"/>
                                  <w:szCs w:val="15"/>
                                  <w:lang w:val="en-US" w:eastAsia="zh-CN"/>
                                </w:rPr>
                                <w:t>于10个工作日内</w:t>
                              </w:r>
                              <w:r>
                                <w:rPr>
                                  <w:rFonts w:hint="eastAsia" w:ascii="仿宋_GB2312" w:hAnsi="仿宋_GB2312" w:eastAsia="仿宋_GB2312" w:cs="仿宋_GB2312"/>
                                  <w:b w:val="0"/>
                                  <w:bCs w:val="0"/>
                                  <w:spacing w:val="-6"/>
                                  <w:sz w:val="15"/>
                                  <w:szCs w:val="15"/>
                                </w:rPr>
                                <w:t>双方签订</w:t>
                              </w:r>
                              <w:r>
                                <w:rPr>
                                  <w:rFonts w:hint="eastAsia" w:ascii="仿宋_GB2312" w:hAnsi="仿宋_GB2312" w:eastAsia="仿宋_GB2312" w:cs="仿宋_GB2312"/>
                                  <w:b w:val="0"/>
                                  <w:bCs w:val="0"/>
                                  <w:spacing w:val="-6"/>
                                  <w:sz w:val="15"/>
                                  <w:szCs w:val="15"/>
                                  <w:lang w:val="en-US" w:eastAsia="zh-CN"/>
                                </w:rPr>
                                <w:t>书面</w:t>
                              </w:r>
                              <w:r>
                                <w:rPr>
                                  <w:rFonts w:hint="eastAsia" w:ascii="仿宋_GB2312" w:hAnsi="仿宋_GB2312" w:eastAsia="仿宋_GB2312" w:cs="仿宋_GB2312"/>
                                  <w:b w:val="0"/>
                                  <w:bCs w:val="0"/>
                                  <w:spacing w:val="-6"/>
                                  <w:sz w:val="15"/>
                                  <w:szCs w:val="15"/>
                                </w:rPr>
                                <w:t>合同</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并自合同签订之日起2个工作日内在“中国山东政府采购网”进行公示。</w:t>
                              </w:r>
                            </w:p>
                          </w:txbxContent>
                        </wps:txbx>
                        <wps:bodyPr upright="1"/>
                      </wps:wsp>
                      <wps:wsp>
                        <wps:cNvPr id="48" name="矩形 48"/>
                        <wps:cNvSpPr/>
                        <wps:spPr>
                          <a:xfrm>
                            <a:off x="7170" y="216055"/>
                            <a:ext cx="1520" cy="447"/>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1D9B23D">
                              <w:pPr>
                                <w:spacing w:line="200" w:lineRule="exact"/>
                                <w:jc w:val="center"/>
                                <w:rPr>
                                  <w:rFonts w:hint="eastAsia"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开标、评标、定标</w:t>
                              </w:r>
                            </w:p>
                          </w:txbxContent>
                        </wps:txbx>
                        <wps:bodyPr upright="1"/>
                      </wps:wsp>
                      <wps:wsp>
                        <wps:cNvPr id="46" name="矩形 46"/>
                        <wps:cNvSpPr/>
                        <wps:spPr>
                          <a:xfrm>
                            <a:off x="9279" y="215978"/>
                            <a:ext cx="1719" cy="412"/>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64961C">
                              <w:pPr>
                                <w:spacing w:line="200" w:lineRule="exact"/>
                                <w:jc w:val="center"/>
                                <w:rPr>
                                  <w:rFonts w:hint="eastAsia"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建设单位、中标人</w:t>
                              </w:r>
                            </w:p>
                          </w:txbxContent>
                        </wps:txbx>
                        <wps:bodyPr upright="1"/>
                      </wps:wsp>
                      <wps:wsp>
                        <wps:cNvPr id="52" name="矩形 52"/>
                        <wps:cNvSpPr/>
                        <wps:spPr>
                          <a:xfrm>
                            <a:off x="11537" y="216492"/>
                            <a:ext cx="4823" cy="10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84B673">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11"/>
                                  <w:sz w:val="15"/>
                                  <w:szCs w:val="15"/>
                                  <w:lang w:val="en-US" w:eastAsia="zh-CN"/>
                                </w:rPr>
                                <w:t>建设单位和主管部门</w:t>
                              </w:r>
                              <w:r>
                                <w:rPr>
                                  <w:rFonts w:hint="eastAsia" w:ascii="仿宋_GB2312" w:hAnsi="仿宋_GB2312" w:eastAsia="仿宋_GB2312" w:cs="仿宋_GB2312"/>
                                  <w:b w:val="0"/>
                                  <w:bCs w:val="0"/>
                                  <w:spacing w:val="-11"/>
                                  <w:sz w:val="15"/>
                                  <w:szCs w:val="15"/>
                                </w:rPr>
                                <w:t>要对项目进展情况实时监</w:t>
                              </w:r>
                              <w:r>
                                <w:rPr>
                                  <w:rFonts w:hint="eastAsia" w:ascii="仿宋_GB2312" w:hAnsi="仿宋_GB2312" w:eastAsia="仿宋_GB2312" w:cs="仿宋_GB2312"/>
                                  <w:b w:val="0"/>
                                  <w:bCs w:val="0"/>
                                  <w:spacing w:val="-11"/>
                                  <w:sz w:val="15"/>
                                  <w:szCs w:val="15"/>
                                  <w:lang w:val="en-US" w:eastAsia="zh-CN"/>
                                </w:rPr>
                                <w:t>管，完善和健全内控管理制度，加强工程变更管理，合同内变更按程序向县政府有关部门报备。出现初步设计提出的投资概算超过经批准的可研报告所确定的投资估算10%，或者建设单位、建设性质、建设地点、建设规模、技术方案发生重大变更的情形之一的，建设单位应向县发改局报告，县发改局可要求建设单位重新编制可研报批。</w:t>
                              </w:r>
                            </w:p>
                          </w:txbxContent>
                        </wps:txbx>
                        <wps:bodyPr upright="1"/>
                      </wps:wsp>
                      <wps:wsp>
                        <wps:cNvPr id="53" name="矩形 53"/>
                        <wps:cNvSpPr/>
                        <wps:spPr>
                          <a:xfrm>
                            <a:off x="7172" y="216779"/>
                            <a:ext cx="1499" cy="52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5477F1">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实时</w:t>
                              </w:r>
                              <w:r>
                                <w:rPr>
                                  <w:rFonts w:hint="eastAsia" w:ascii="仿宋_GB2312" w:hAnsi="仿宋" w:eastAsia="仿宋_GB2312" w:cs="仿宋"/>
                                  <w:b w:val="0"/>
                                  <w:bCs/>
                                  <w:color w:val="000000"/>
                                  <w:sz w:val="18"/>
                                  <w:szCs w:val="18"/>
                                </w:rPr>
                                <w:t>监管</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变更管理</w:t>
                              </w:r>
                            </w:p>
                            <w:p w14:paraId="1A330253"/>
                          </w:txbxContent>
                        </wps:txbx>
                        <wps:bodyPr upright="1"/>
                      </wps:wsp>
                      <wps:wsp>
                        <wps:cNvPr id="62" name="矩形 62"/>
                        <wps:cNvSpPr/>
                        <wps:spPr>
                          <a:xfrm>
                            <a:off x="9257" y="216794"/>
                            <a:ext cx="1771" cy="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FAB5A3">
                              <w:pPr>
                                <w:spacing w:line="200" w:lineRule="exact"/>
                                <w:jc w:val="center"/>
                                <w:rPr>
                                  <w:rFonts w:hint="default" w:ascii="仿宋" w:hAnsi="仿宋" w:eastAsia="仿宋_GB2312"/>
                                  <w:b w:val="0"/>
                                  <w:bCs/>
                                  <w:color w:val="000000"/>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val="en-US" w:eastAsia="zh-CN"/>
                                </w:rPr>
                                <w:t>及其主管部门</w:t>
                              </w:r>
                            </w:p>
                            <w:p w14:paraId="3A858A02"/>
                          </w:txbxContent>
                        </wps:txbx>
                        <wps:bodyPr upright="1"/>
                      </wps:wsp>
                      <wps:wsp>
                        <wps:cNvPr id="63" name="矩形 63"/>
                        <wps:cNvSpPr/>
                        <wps:spPr>
                          <a:xfrm>
                            <a:off x="11542" y="217595"/>
                            <a:ext cx="4786" cy="9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F53886">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color w:val="000000"/>
                                  <w:spacing w:val="-3"/>
                                  <w:sz w:val="15"/>
                                  <w:szCs w:val="15"/>
                                  <w:lang w:val="en-US" w:eastAsia="zh-CN"/>
                                </w:rPr>
                                <w:t>县社会信用中心、县发改局与相关行政监督部门建立履约监管信息共享机制，实行联合惩戒。</w:t>
                              </w:r>
                              <w:r>
                                <w:rPr>
                                  <w:rFonts w:hint="eastAsia" w:ascii="仿宋_GB2312" w:hAnsi="仿宋_GB2312" w:eastAsia="仿宋_GB2312" w:cs="仿宋_GB2312"/>
                                  <w:b w:val="0"/>
                                  <w:bCs w:val="0"/>
                                  <w:spacing w:val="-3"/>
                                  <w:sz w:val="15"/>
                                  <w:szCs w:val="15"/>
                                  <w:lang w:val="en-US" w:eastAsia="zh-CN"/>
                                </w:rPr>
                                <w:t>县发改局</w:t>
                              </w:r>
                              <w:r>
                                <w:rPr>
                                  <w:rFonts w:hint="eastAsia" w:ascii="仿宋_GB2312" w:hAnsi="仿宋_GB2312" w:eastAsia="仿宋_GB2312" w:cs="仿宋_GB2312"/>
                                  <w:b w:val="0"/>
                                  <w:bCs w:val="0"/>
                                  <w:spacing w:val="-7"/>
                                  <w:sz w:val="15"/>
                                  <w:szCs w:val="15"/>
                                </w:rPr>
                                <w:t>会同</w:t>
                              </w:r>
                              <w:r>
                                <w:rPr>
                                  <w:rFonts w:hint="eastAsia" w:ascii="仿宋_GB2312" w:hAnsi="仿宋_GB2312" w:eastAsia="仿宋_GB2312" w:cs="仿宋_GB2312"/>
                                  <w:b w:val="0"/>
                                  <w:bCs w:val="0"/>
                                  <w:spacing w:val="-7"/>
                                  <w:sz w:val="15"/>
                                  <w:szCs w:val="15"/>
                                  <w:lang w:val="en-US" w:eastAsia="zh-CN"/>
                                </w:rPr>
                                <w:t>县住房和城乡建设局、县交通局、县</w:t>
                              </w:r>
                              <w:r>
                                <w:rPr>
                                  <w:rFonts w:hint="eastAsia" w:ascii="仿宋_GB2312" w:hAnsi="仿宋_GB2312" w:eastAsia="仿宋_GB2312" w:cs="仿宋_GB2312"/>
                                  <w:b w:val="0"/>
                                  <w:bCs w:val="0"/>
                                  <w:spacing w:val="-1"/>
                                  <w:sz w:val="15"/>
                                  <w:szCs w:val="15"/>
                                </w:rPr>
                                <w:t>水利局、</w:t>
                              </w:r>
                              <w:r>
                                <w:rPr>
                                  <w:rFonts w:hint="eastAsia" w:ascii="仿宋_GB2312" w:hAnsi="仿宋_GB2312" w:eastAsia="仿宋_GB2312" w:cs="仿宋_GB2312"/>
                                  <w:b w:val="0"/>
                                  <w:bCs w:val="0"/>
                                  <w:spacing w:val="-1"/>
                                  <w:sz w:val="15"/>
                                  <w:szCs w:val="15"/>
                                  <w:lang w:val="en-US" w:eastAsia="zh-CN"/>
                                </w:rPr>
                                <w:t>县</w:t>
                              </w:r>
                              <w:r>
                                <w:rPr>
                                  <w:rFonts w:hint="eastAsia" w:ascii="仿宋_GB2312" w:hAnsi="仿宋_GB2312" w:eastAsia="仿宋_GB2312" w:cs="仿宋_GB2312"/>
                                  <w:b w:val="0"/>
                                  <w:bCs w:val="0"/>
                                  <w:spacing w:val="-1"/>
                                  <w:sz w:val="15"/>
                                  <w:szCs w:val="15"/>
                                </w:rPr>
                                <w:t>自然资源和规划局</w:t>
                              </w:r>
                              <w:r>
                                <w:rPr>
                                  <w:rFonts w:hint="eastAsia" w:ascii="仿宋_GB2312" w:hAnsi="仿宋_GB2312" w:eastAsia="仿宋_GB2312" w:cs="仿宋_GB2312"/>
                                  <w:b w:val="0"/>
                                  <w:bCs w:val="0"/>
                                  <w:spacing w:val="-1"/>
                                  <w:sz w:val="15"/>
                                  <w:szCs w:val="15"/>
                                  <w:lang w:eastAsia="zh-CN"/>
                                </w:rPr>
                                <w:t>、</w:t>
                              </w:r>
                              <w:r>
                                <w:rPr>
                                  <w:rFonts w:hint="eastAsia" w:ascii="仿宋_GB2312" w:hAnsi="仿宋_GB2312" w:eastAsia="仿宋_GB2312" w:cs="仿宋_GB2312"/>
                                  <w:b w:val="0"/>
                                  <w:bCs w:val="0"/>
                                  <w:spacing w:val="-1"/>
                                  <w:sz w:val="15"/>
                                  <w:szCs w:val="15"/>
                                  <w:lang w:val="en-US" w:eastAsia="zh-CN"/>
                                </w:rPr>
                                <w:t>县财政局</w:t>
                              </w:r>
                              <w:r>
                                <w:rPr>
                                  <w:rFonts w:hint="eastAsia" w:ascii="仿宋_GB2312" w:hAnsi="仿宋_GB2312" w:eastAsia="仿宋_GB2312" w:cs="仿宋_GB2312"/>
                                  <w:b w:val="0"/>
                                  <w:bCs w:val="0"/>
                                  <w:spacing w:val="-1"/>
                                  <w:sz w:val="15"/>
                                  <w:szCs w:val="15"/>
                                </w:rPr>
                                <w:t>等有关</w:t>
                              </w:r>
                              <w:r>
                                <w:rPr>
                                  <w:rFonts w:hint="eastAsia" w:ascii="仿宋_GB2312" w:hAnsi="仿宋_GB2312" w:eastAsia="仿宋_GB2312" w:cs="仿宋_GB2312"/>
                                  <w:b w:val="0"/>
                                  <w:bCs w:val="0"/>
                                  <w:spacing w:val="-1"/>
                                  <w:sz w:val="15"/>
                                  <w:szCs w:val="15"/>
                                  <w:lang w:val="en-US" w:eastAsia="zh-CN"/>
                                </w:rPr>
                                <w:t>行政</w:t>
                              </w:r>
                              <w:r>
                                <w:rPr>
                                  <w:rFonts w:hint="eastAsia" w:ascii="仿宋_GB2312" w:hAnsi="仿宋_GB2312" w:eastAsia="仿宋_GB2312" w:cs="仿宋_GB2312"/>
                                  <w:b w:val="0"/>
                                  <w:bCs w:val="0"/>
                                  <w:spacing w:val="-1"/>
                                  <w:sz w:val="15"/>
                                  <w:szCs w:val="15"/>
                                </w:rPr>
                                <w:t>监</w:t>
                              </w:r>
                              <w:r>
                                <w:rPr>
                                  <w:rFonts w:hint="eastAsia" w:ascii="仿宋_GB2312" w:hAnsi="仿宋_GB2312" w:eastAsia="仿宋_GB2312" w:cs="仿宋_GB2312"/>
                                  <w:b w:val="0"/>
                                  <w:bCs w:val="0"/>
                                  <w:spacing w:val="-1"/>
                                  <w:sz w:val="15"/>
                                  <w:szCs w:val="15"/>
                                  <w:lang w:val="en-US" w:eastAsia="zh-CN"/>
                                </w:rPr>
                                <w:t>督</w:t>
                              </w:r>
                              <w:r>
                                <w:rPr>
                                  <w:rFonts w:hint="eastAsia" w:ascii="仿宋_GB2312" w:hAnsi="仿宋_GB2312" w:eastAsia="仿宋_GB2312" w:cs="仿宋_GB2312"/>
                                  <w:b w:val="0"/>
                                  <w:bCs w:val="0"/>
                                  <w:spacing w:val="-2"/>
                                  <w:sz w:val="15"/>
                                  <w:szCs w:val="15"/>
                                </w:rPr>
                                <w:t>部门对</w:t>
                              </w:r>
                              <w:r>
                                <w:rPr>
                                  <w:rFonts w:hint="eastAsia" w:ascii="仿宋_GB2312" w:hAnsi="仿宋_GB2312" w:eastAsia="仿宋_GB2312" w:cs="仿宋_GB2312"/>
                                  <w:b w:val="0"/>
                                  <w:bCs w:val="0"/>
                                  <w:spacing w:val="-2"/>
                                  <w:sz w:val="15"/>
                                  <w:szCs w:val="15"/>
                                  <w:lang w:val="en-US" w:eastAsia="zh-CN"/>
                                </w:rPr>
                                <w:t>项目</w:t>
                              </w:r>
                              <w:r>
                                <w:rPr>
                                  <w:rFonts w:hint="eastAsia" w:ascii="仿宋_GB2312" w:hAnsi="仿宋_GB2312" w:eastAsia="仿宋_GB2312" w:cs="仿宋_GB2312"/>
                                  <w:b w:val="0"/>
                                  <w:bCs w:val="0"/>
                                  <w:spacing w:val="-2"/>
                                  <w:sz w:val="15"/>
                                  <w:szCs w:val="15"/>
                                </w:rPr>
                                <w:t>履约</w:t>
                              </w:r>
                              <w:r>
                                <w:rPr>
                                  <w:rFonts w:hint="eastAsia" w:ascii="仿宋_GB2312" w:hAnsi="仿宋_GB2312" w:eastAsia="仿宋_GB2312" w:cs="仿宋_GB2312"/>
                                  <w:b w:val="0"/>
                                  <w:bCs w:val="0"/>
                                  <w:spacing w:val="-2"/>
                                  <w:sz w:val="15"/>
                                  <w:szCs w:val="15"/>
                                  <w:lang w:val="en-US" w:eastAsia="zh-CN"/>
                                </w:rPr>
                                <w:t>实施</w:t>
                              </w:r>
                              <w:r>
                                <w:rPr>
                                  <w:rFonts w:hint="eastAsia" w:ascii="仿宋_GB2312" w:hAnsi="仿宋_GB2312" w:eastAsia="仿宋_GB2312" w:cs="仿宋_GB2312"/>
                                  <w:b w:val="0"/>
                                  <w:bCs w:val="0"/>
                                  <w:spacing w:val="-2"/>
                                  <w:sz w:val="15"/>
                                  <w:szCs w:val="15"/>
                                </w:rPr>
                                <w:t>情况进行</w:t>
                              </w:r>
                              <w:r>
                                <w:rPr>
                                  <w:rFonts w:hint="eastAsia" w:ascii="仿宋_GB2312" w:hAnsi="仿宋_GB2312" w:eastAsia="仿宋_GB2312" w:cs="仿宋_GB2312"/>
                                  <w:b w:val="0"/>
                                  <w:bCs w:val="0"/>
                                  <w:spacing w:val="-2"/>
                                  <w:sz w:val="15"/>
                                  <w:szCs w:val="15"/>
                                  <w:lang w:val="en-US" w:eastAsia="zh-CN"/>
                                </w:rPr>
                                <w:t>监督</w:t>
                              </w:r>
                              <w:r>
                                <w:rPr>
                                  <w:rFonts w:hint="eastAsia" w:ascii="仿宋_GB2312" w:hAnsi="仿宋_GB2312" w:eastAsia="仿宋_GB2312" w:cs="仿宋_GB2312"/>
                                  <w:b w:val="0"/>
                                  <w:bCs w:val="0"/>
                                  <w:spacing w:val="-2"/>
                                  <w:sz w:val="15"/>
                                  <w:szCs w:val="15"/>
                                </w:rPr>
                                <w:t>抽查。</w:t>
                              </w:r>
                            </w:p>
                          </w:txbxContent>
                        </wps:txbx>
                        <wps:bodyPr upright="1"/>
                      </wps:wsp>
                      <wps:wsp>
                        <wps:cNvPr id="66" name="矩形 66"/>
                        <wps:cNvSpPr/>
                        <wps:spPr>
                          <a:xfrm>
                            <a:off x="7172" y="217692"/>
                            <a:ext cx="1530" cy="56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17F818B">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8"/>
                                  <w:szCs w:val="18"/>
                                  <w:lang w:val="en-US" w:eastAsia="zh-CN"/>
                                </w:rPr>
                                <w:t>信用监管、履约抽查</w:t>
                              </w:r>
                            </w:p>
                          </w:txbxContent>
                        </wps:txbx>
                        <wps:bodyPr upright="1"/>
                      </wps:wsp>
                      <wps:wsp>
                        <wps:cNvPr id="64" name="矩形 64"/>
                        <wps:cNvSpPr/>
                        <wps:spPr>
                          <a:xfrm>
                            <a:off x="9274" y="217606"/>
                            <a:ext cx="1797" cy="72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5FBFBA">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县社会信用中心、县发改局、有关行政监督部门</w:t>
                              </w:r>
                            </w:p>
                          </w:txbxContent>
                        </wps:txbx>
                        <wps:bodyPr upright="1"/>
                      </wps:wsp>
                      <wps:wsp>
                        <wps:cNvPr id="55" name="矩形 55"/>
                        <wps:cNvSpPr/>
                        <wps:spPr>
                          <a:xfrm>
                            <a:off x="11574" y="218551"/>
                            <a:ext cx="4752" cy="52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20B9C5">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2"/>
                                  <w:sz w:val="15"/>
                                  <w:szCs w:val="15"/>
                                  <w:lang w:val="en-US" w:eastAsia="zh-CN"/>
                                </w:rPr>
                                <w:t>项目完成后，建设单位依法组织有关部门联合验收并于3个工作日内在“中国山东政府采购网”发布验收结果公告，</w:t>
                              </w:r>
                            </w:p>
                            <w:p w14:paraId="6E30201D"/>
                          </w:txbxContent>
                        </wps:txbx>
                        <wps:bodyPr upright="1"/>
                      </wps:wsp>
                      <wps:wsp>
                        <wps:cNvPr id="61" name="矩形 61"/>
                        <wps:cNvSpPr/>
                        <wps:spPr>
                          <a:xfrm>
                            <a:off x="7158" y="218575"/>
                            <a:ext cx="1544" cy="3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506A3D">
                              <w:pPr>
                                <w:spacing w:line="200" w:lineRule="exact"/>
                                <w:jc w:val="center"/>
                                <w:rPr>
                                  <w:rFonts w:hint="eastAsia" w:ascii="仿宋_GB2312" w:hAnsi="仿宋_GB2312" w:eastAsia="仿宋_GB2312" w:cs="仿宋_GB2312"/>
                                  <w:b w:val="0"/>
                                  <w:bCs/>
                                  <w:color w:val="000000"/>
                                  <w:sz w:val="18"/>
                                  <w:szCs w:val="18"/>
                                </w:rPr>
                              </w:pPr>
                              <w:r>
                                <w:rPr>
                                  <w:rFonts w:hint="eastAsia" w:ascii="仿宋_GB2312" w:hAnsi="仿宋_GB2312" w:eastAsia="仿宋_GB2312" w:cs="仿宋_GB2312"/>
                                  <w:b w:val="0"/>
                                  <w:bCs/>
                                  <w:color w:val="000000"/>
                                  <w:sz w:val="18"/>
                                  <w:szCs w:val="18"/>
                                  <w:lang w:val="en-US" w:eastAsia="zh-CN"/>
                                </w:rPr>
                                <w:t>项目</w:t>
                              </w:r>
                              <w:r>
                                <w:rPr>
                                  <w:rFonts w:hint="eastAsia" w:ascii="仿宋_GB2312" w:hAnsi="仿宋_GB2312" w:eastAsia="仿宋_GB2312" w:cs="仿宋_GB2312"/>
                                  <w:b w:val="0"/>
                                  <w:bCs/>
                                  <w:color w:val="000000"/>
                                  <w:sz w:val="18"/>
                                  <w:szCs w:val="18"/>
                                </w:rPr>
                                <w:t>验收</w:t>
                              </w:r>
                            </w:p>
                            <w:p w14:paraId="45AD3E00"/>
                          </w:txbxContent>
                        </wps:txbx>
                        <wps:bodyPr upright="1"/>
                      </wps:wsp>
                      <wps:wsp>
                        <wps:cNvPr id="67" name="矩形 67"/>
                        <wps:cNvSpPr/>
                        <wps:spPr>
                          <a:xfrm>
                            <a:off x="11580" y="219147"/>
                            <a:ext cx="4728" cy="65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A44AFB">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5"/>
                                  <w:szCs w:val="15"/>
                                  <w:lang w:val="en-US" w:eastAsia="zh-CN"/>
                                </w:rPr>
                                <w:t>建设单位严格按照合同约定和工程价款结算程序支付工程款。完工价款结算一般应当在项目完工验收后2个月内完成，最长不得超过3个月。</w:t>
                              </w:r>
                            </w:p>
                          </w:txbxContent>
                        </wps:txbx>
                        <wps:bodyPr upright="1"/>
                      </wps:wsp>
                      <wps:wsp>
                        <wps:cNvPr id="77" name="矩形 77"/>
                        <wps:cNvSpPr/>
                        <wps:spPr>
                          <a:xfrm>
                            <a:off x="9276" y="219208"/>
                            <a:ext cx="1790" cy="52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5A5B0">
                              <w:pPr>
                                <w:ind w:firstLine="360" w:firstLineChars="2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w:t>
                              </w:r>
                            </w:p>
                          </w:txbxContent>
                        </wps:txbx>
                        <wps:bodyPr upright="1"/>
                      </wps:wsp>
                      <wps:wsp>
                        <wps:cNvPr id="73" name="矩形 73"/>
                        <wps:cNvSpPr/>
                        <wps:spPr>
                          <a:xfrm>
                            <a:off x="7172" y="219287"/>
                            <a:ext cx="1531" cy="37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D24D48C">
                              <w:pPr>
                                <w:ind w:firstLine="180" w:firstLineChars="100"/>
                                <w:rPr>
                                  <w:rFonts w:hint="eastAsia" w:ascii="仿宋_GB2312" w:hAnsi="仿宋_GB2312" w:eastAsia="仿宋_GB2312" w:cs="仿宋_GB2312"/>
                                  <w:b w:val="0"/>
                                  <w:bCs w:val="0"/>
                                  <w:color w:val="000000"/>
                                  <w:sz w:val="18"/>
                                  <w:szCs w:val="18"/>
                                  <w:lang w:val="en-US" w:eastAsia="zh-CN"/>
                                </w:rPr>
                              </w:pPr>
                              <w:r>
                                <w:rPr>
                                  <w:rFonts w:hint="eastAsia" w:ascii="仿宋_GB2312" w:hAnsi="仿宋_GB2312" w:eastAsia="仿宋_GB2312" w:cs="仿宋_GB2312"/>
                                  <w:b w:val="0"/>
                                  <w:bCs w:val="0"/>
                                  <w:color w:val="000000"/>
                                  <w:sz w:val="18"/>
                                  <w:szCs w:val="18"/>
                                  <w:lang w:val="en-US" w:eastAsia="zh-CN"/>
                                </w:rPr>
                                <w:t>工程结算</w:t>
                              </w:r>
                            </w:p>
                          </w:txbxContent>
                        </wps:txbx>
                        <wps:bodyPr upright="1"/>
                      </wps:wsp>
                    </wpg:wgp>
                  </a:graphicData>
                </a:graphic>
              </wp:anchor>
            </w:drawing>
          </mc:Choice>
          <mc:Fallback>
            <w:pict>
              <v:group id="_x0000_s1026" o:spid="_x0000_s1026" o:spt="203" style="position:absolute;left:0pt;margin-left:-7.4pt;margin-top:24.55pt;height:498.1pt;width:460.15pt;z-index:251662336;mso-width-relative:page;mso-height-relative:page;" coordorigin="7157,209842" coordsize="9203,9962" o:gfxdata="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">
                <o:lock v:ext="edit" aspectratio="f"/>
                <v:shape id="_x0000_s1026" o:spid="_x0000_s1026" o:spt="32" type="#_x0000_t32" style="position:absolute;left:10935;top:210354;height:2;width:647;" filled="f" stroked="t" coordsize="21600,21600" o:gfxdata="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tKY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8676;top:210374;height:1;width:561;" filled="f" stroked="t" coordsize="21600,21600" o:gfxdata="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slR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4" type="#_x0000_t34" style="position:absolute;left:7710;top:210938;flip:y;height:6;width:324;rotation:-5898240f;" filled="f" stroked="t" coordsize="21600,21600" o:gfxdata="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n/QO8AAAA&#10;2wAAAA8AAAAAAAAAAQAgAAAAIgAAAGRycy9kb3ducmV2LnhtbFBLAQIUABQAAAAIAIdO4kAzLwWe&#10;OwAAADkAAAAQAAAAAAAAAAEAIAAAAAsBAABkcnMvc2hhcGV4bWwueG1sUEsFBgAAAAAGAAYAWwEA&#10;ALUDAAAAAA==&#10;" adj="10867">
                  <v:fill on="f" focussize="0,0"/>
                  <v:stroke color="#000000" joinstyle="miter" endarrow="block"/>
                  <v:imagedata o:title=""/>
                  <o:lock v:ext="edit" aspectratio="f"/>
                </v:shape>
                <v:shape id="_x0000_s1026" o:spid="_x0000_s1026" o:spt="32" type="#_x0000_t32" style="position:absolute;left:10861;top:211652;height:2;width:647;" filled="f" stroked="t" coordsize="21600,21600" o:gfxdata="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6eOd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8684;top:212691;height:1;width:507;" filled="f" stroked="t" coordsize="21600,21600" o:gfxdata="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RR6o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32" type="#_x0000_t32" style="position:absolute;left:11003;top:212666;height:0;width:495;" filled="f" stroked="t" coordsize="21600,21600" o:gfxdata="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eAjR7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4" type="#_x0000_t34" style="position:absolute;left:7631;top:213083;height:4;width:516;rotation:5898240f;" filled="f" stroked="t" coordsize="21600,21600" o:gfxdata="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I3ci8AAAA&#10;2wAAAA8AAAAAAAAAAQAgAAAAIgAAAGRycy9kb3ducmV2LnhtbFBLAQIUABQAAAAIAIdO4kAzLwWe&#10;OwAAADkAAAAQAAAAAAAAAAEAIAAAAAsBAABkcnMvc2hhcGV4bWwueG1sUEsFBgAAAAAGAAYAWwEA&#10;ALUDAAAAAA==&#10;" adj="10779">
                  <v:fill on="f" focussize="0,0"/>
                  <v:stroke color="#000000" joinstyle="miter" endarrow="block"/>
                  <v:imagedata o:title=""/>
                  <o:lock v:ext="edit" aspectratio="f"/>
                </v:shape>
                <v:shape id="_x0000_s1026" o:spid="_x0000_s1026" o:spt="32" type="#_x0000_t32" style="position:absolute;left:8696;top:213577;height:1;width:507;" filled="f" stroked="t" coordsize="21600,21600" o:gfxdata="UEsDBAoAAAAAAIdO4kAAAAAAAAAAAAAAAAAEAAAAZHJzL1BLAwQUAAAACACHTuJAVDm1mrsAAADb&#10;AAAADwAAAGRycy9kb3ducmV2LnhtbEVPW2vCMBR+H+w/hDPY20zro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m1m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10943;top:213550;height:0;width:495;" filled="f" stroked="t" coordsize="21600,21600" o:gfxdata="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MBMY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4" type="#_x0000_t34" style="position:absolute;left:7718;top:214124;height:1;width:311;rotation:5898240f;" filled="f" stroked="t" coordsize="21600,21600" o:gfxdata="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A9Bgu8AAAA&#10;2wAAAA8AAAAAAAAAAQAgAAAAIgAAAGRycy9kb3ducmV2LnhtbFBLAQIUABQAAAAIAIdO4kAzLwWe&#10;OwAAADkAAAAQAAAAAAAAAAEAIAAAAAsBAABkcnMvc2hhcGV4bWwueG1sUEsFBgAAAAAGAAYAWwEA&#10;ALUDAAAAAA==&#10;" adj="10765">
                  <v:fill on="f" focussize="0,0"/>
                  <v:stroke color="#000000" joinstyle="miter" endarrow="block"/>
                  <v:imagedata o:title=""/>
                  <o:lock v:ext="edit" aspectratio="f"/>
                </v:shape>
                <v:shape id="_x0000_s1026" o:spid="_x0000_s1026" o:spt="32" type="#_x0000_t32" style="position:absolute;left:8735;top:214552;height:1;width:522;" filled="f" stroked="t" coordsize="21600,21600" o:gfxdata="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qr1o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4" type="#_x0000_t34" style="position:absolute;left:11022;top:214608;height:1;width:510;" filled="f" stroked="t" coordsize="21600,21600" o:gfxdata="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mNfbL4A&#10;AADbAAAADwAAAAAAAAABACAAAAAiAAAAZHJzL2Rvd25yZXYueG1sUEsBAhQAFAAAAAgAh07iQDMv&#10;BZ47AAAAOQAAABAAAAAAAAAAAQAgAAAADQEAAGRycy9zaGFwZXhtbC54bWxQSwUGAAAAAAYABgBb&#10;AQAAtwMAAAAA&#10;" adj="10800">
                  <v:fill on="f" focussize="0,0"/>
                  <v:stroke color="#000000" joinstyle="miter" endarrow="block"/>
                  <v:imagedata o:title=""/>
                  <o:lock v:ext="edit" aspectratio="f"/>
                </v:shape>
                <v:shape id="_x0000_s1026" o:spid="_x0000_s1026" o:spt="34" type="#_x0000_t34" style="position:absolute;left:7734;top:215042;height:1;width:311;rotation:5898240f;" filled="f" stroked="t" coordsize="21600,21600" o:gfxdata="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d9DtvQAA&#10;ANsAAAAPAAAAAAAAAAEAIAAAACIAAABkcnMvZG93bnJldi54bWxQSwECFAAUAAAACACHTuJAMy8F&#10;njsAAAA5AAAAEAAAAAAAAAABACAAAAAMAQAAZHJzL3NoYXBleG1sLnhtbFBLBQYAAAAABgAGAFsB&#10;AAC2AwAAAAA=&#10;" adj="10765">
                  <v:fill on="f" focussize="0,0"/>
                  <v:stroke color="#000000" joinstyle="miter" endarrow="block"/>
                  <v:imagedata o:title=""/>
                  <o:lock v:ext="edit" aspectratio="f"/>
                </v:shape>
                <v:shape id="_x0000_s1026" o:spid="_x0000_s1026" o:spt="34" type="#_x0000_t34" style="position:absolute;left:8675;top:215386;height:1;width:537;" filled="f" stroked="t" coordsize="21600,21600" o:gfxdata="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z8DN74A&#10;AADbAAAADwAAAAAAAAABACAAAAAiAAAAZHJzL2Rvd25yZXYueG1sUEsBAhQAFAAAAAgAh07iQDMv&#10;BZ47AAAAOQAAABAAAAAAAAAAAQAgAAAADQEAAGRycy9zaGFwZXhtbC54bWxQSwUGAAAAAAYABgBb&#10;AQAAtwMAAAAA&#10;" adj="10780">
                  <v:fill on="f" focussize="0,0"/>
                  <v:stroke color="#000000" joinstyle="miter" endarrow="block"/>
                  <v:imagedata o:title=""/>
                  <o:lock v:ext="edit" aspectratio="f"/>
                </v:shape>
                <v:shape id="_x0000_s1026" o:spid="_x0000_s1026" o:spt="32" type="#_x0000_t32" style="position:absolute;left:10983;top:215465;height:1;width:540;" filled="f" stroked="t" coordsize="21600,21600" o:gfxdata="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1Yk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4" type="#_x0000_t34" style="position:absolute;left:7686;top:215854;flip:y;height:5;width:419;rotation:-5898240f;" filled="f" stroked="t" coordsize="21600,21600" o:gfxdata="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1Leb4A&#10;AADbAAAADwAAAAAAAAABACAAAAAiAAAAZHJzL2Rvd25yZXYueG1sUEsBAhQAFAAAAAgAh07iQDMv&#10;BZ47AAAAOQAAABAAAAAAAAAAAQAgAAAADQEAAGRycy9zaGFwZXhtbC54bWxQSwUGAAAAAAYABgBb&#10;AQAAtwMAAAAA&#10;" adj="10800">
                  <v:fill on="f" focussize="0,0"/>
                  <v:stroke color="#000000" joinstyle="miter" endarrow="block"/>
                  <v:imagedata o:title=""/>
                  <o:lock v:ext="edit" aspectratio="f"/>
                </v:shape>
                <v:shape id="_x0000_s1026" o:spid="_x0000_s1026" o:spt="32" type="#_x0000_t32" style="position:absolute;left:10981;top:216181;height:1;width:537;" filled="f" stroked="t" coordsize="21600,21600" o:gfxdata="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DbdW/&#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32" type="#_x0000_t32" style="position:absolute;left:8730;top:216272;height:0;width:450;" filled="f" stroked="t" coordsize="21600,21600" o:gfxdata="UEsDBAoAAAAAAIdO4kAAAAAAAAAAAAAAAAAEAAAAZHJzL1BLAwQUAAAACACHTuJAnQVver4AAADb&#10;AAAADwAAAGRycy9kb3ducmV2LnhtbEWPT2sCMRTE74V+h/CE3mpWKY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Vver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4" type="#_x0000_t34" style="position:absolute;left:7719;top:216638;height:1;width:311;rotation:5898240f;" filled="f" stroked="t" coordsize="21600,21600" o:gfxdata="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1dGP+5AAAA2wAA&#10;AA8AAAAAAAAAAQAgAAAAIgAAAGRycy9kb3ducmV2LnhtbFBLAQIUABQAAAAIAIdO4kAzLwWeOwAA&#10;ADkAAAAQAAAAAAAAAAEAIAAAAAgBAABkcnMvc2hhcGV4bWwueG1sUEsFBgAAAAAGAAYAWwEAALID&#10;AAAAAA==&#10;" adj="10765">
                  <v:fill on="f" focussize="0,0"/>
                  <v:stroke color="#000000" joinstyle="miter" endarrow="block"/>
                  <v:imagedata o:title=""/>
                  <o:lock v:ext="edit" aspectratio="f"/>
                </v:shape>
                <v:shape id="_x0000_s1026" o:spid="_x0000_s1026" o:spt="32" type="#_x0000_t32" style="position:absolute;left:8772;top:216992;height:0;width:412;" filled="f" stroked="t" coordsize="21600,21600" o:gfxdata="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z5p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4" type="#_x0000_t34" style="position:absolute;left:7674;top:217469;height:1;width:311;rotation:5898240f;" filled="f" stroked="t" coordsize="21600,21600" o:gfxdata="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Eb1kvQAA&#10;ANsAAAAPAAAAAAAAAAEAIAAAACIAAABkcnMvZG93bnJldi54bWxQSwECFAAUAAAACACHTuJAMy8F&#10;njsAAAA5AAAAEAAAAAAAAAABACAAAAAMAQAAZHJzL3NoYXBleG1sLnhtbFBLBQYAAAAABgAGAFsB&#10;AAC2AwAAAAA=&#10;" adj="10765">
                  <v:fill on="f" focussize="0,0"/>
                  <v:stroke color="#000000" joinstyle="miter" endarrow="block"/>
                  <v:imagedata o:title=""/>
                  <o:lock v:ext="edit" aspectratio="f"/>
                </v:shape>
                <v:shape id="_x0000_s1026" o:spid="_x0000_s1026" o:spt="32" type="#_x0000_t32" style="position:absolute;left:11050;top:216947;height:0;width:465;" filled="f" stroked="t" coordsize="21600,21600" o:gfxdata="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ipqHugAAANs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shape>
                <v:shape id="_x0000_s1026" o:spid="_x0000_s1026" o:spt="32" type="#_x0000_t32" style="position:absolute;left:11065;top:217985;height:0;width:465;" filled="f" stroked="t" coordsize="21600,21600" o:gfxdata="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TDFq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4" type="#_x0000_t34" style="position:absolute;left:7716;top:218437;height:1;width:311;rotation:5898240f;" filled="f" stroked="t" coordsize="21600,21600" o:gfxdata="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vie/vQAA&#10;ANsAAAAPAAAAAAAAAAEAIAAAACIAAABkcnMvZG93bnJldi54bWxQSwECFAAUAAAACACHTuJAMy8F&#10;njsAAAA5AAAAEAAAAAAAAAABACAAAAAMAQAAZHJzL3NoYXBleG1sLnhtbFBLBQYAAAAABgAGAFsB&#10;AAC2AwAAAAA=&#10;" adj="10765">
                  <v:fill on="f" focussize="0,0"/>
                  <v:stroke color="#000000" joinstyle="miter" endarrow="block"/>
                  <v:imagedata o:title=""/>
                  <o:lock v:ext="edit" aspectratio="f"/>
                </v:shape>
                <v:shape id="_x0000_s1026" o:spid="_x0000_s1026" o:spt="32" type="#_x0000_t32" style="position:absolute;left:8802;top:218030;height:0;width:412;" filled="f" stroked="t" coordsize="21600,21600" o:gfxdata="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t1WO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11098;top:218802;height:0;width:451;" filled="f" stroked="t" coordsize="21600,21600" o:gfxdata="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5BcPL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32" type="#_x0000_t32" style="position:absolute;left:8794;top:218836;height:0;width:391;" filled="f" stroked="t" coordsize="21600,21600" o:gfxdata="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9O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rect id="_x0000_s1026" o:spid="_x0000_s1026" o:spt="1" style="position:absolute;left:11558;top:209842;height:953;width:4706;" fillcolor="#FFFFFF" filled="t" stroked="t" coordsize="21600,21600" o:gfxdata="UEsDBAoAAAAAAIdO4kAAAAAAAAAAAAAAAAAEAAAAZHJzL1BLAwQUAAAACACHTuJAW4d3tL0AAADb&#10;AAAADwAAAGRycy9kb3ducmV2LnhtbEWPwW7CMBBE75X4B2uReit2UhW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h3e0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414A339">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5"/>
                            <w:sz w:val="15"/>
                            <w:szCs w:val="15"/>
                            <w:lang w:val="en-US" w:eastAsia="zh-CN"/>
                          </w:rPr>
                          <w:t>建设单位</w:t>
                        </w:r>
                        <w:r>
                          <w:rPr>
                            <w:rFonts w:hint="eastAsia" w:ascii="仿宋_GB2312" w:hAnsi="仿宋_GB2312" w:eastAsia="仿宋_GB2312" w:cs="仿宋_GB2312"/>
                            <w:b w:val="0"/>
                            <w:bCs w:val="0"/>
                            <w:spacing w:val="-5"/>
                            <w:sz w:val="15"/>
                            <w:szCs w:val="15"/>
                          </w:rPr>
                          <w:t>依法选定第三方机构编制可研报告</w:t>
                        </w:r>
                        <w:r>
                          <w:rPr>
                            <w:rFonts w:hint="eastAsia" w:ascii="仿宋_GB2312" w:hAnsi="仿宋_GB2312" w:eastAsia="仿宋_GB2312" w:cs="仿宋_GB2312"/>
                            <w:b w:val="0"/>
                            <w:bCs w:val="0"/>
                            <w:spacing w:val="-5"/>
                            <w:sz w:val="15"/>
                            <w:szCs w:val="15"/>
                            <w:lang w:eastAsia="zh-CN"/>
                          </w:rPr>
                          <w:t>（</w:t>
                        </w:r>
                        <w:r>
                          <w:rPr>
                            <w:rFonts w:hint="eastAsia" w:ascii="仿宋_GB2312" w:hAnsi="仿宋_GB2312" w:eastAsia="仿宋_GB2312" w:cs="仿宋_GB2312"/>
                            <w:b w:val="0"/>
                            <w:bCs w:val="0"/>
                            <w:spacing w:val="-5"/>
                            <w:sz w:val="15"/>
                            <w:szCs w:val="15"/>
                            <w:lang w:val="en-US" w:eastAsia="zh-CN"/>
                          </w:rPr>
                          <w:t>含初设）</w:t>
                        </w:r>
                        <w:r>
                          <w:rPr>
                            <w:rFonts w:hint="eastAsia" w:ascii="仿宋_GB2312" w:hAnsi="仿宋_GB2312" w:eastAsia="仿宋_GB2312" w:cs="仿宋_GB2312"/>
                            <w:b w:val="0"/>
                            <w:bCs w:val="0"/>
                            <w:spacing w:val="-5"/>
                            <w:sz w:val="15"/>
                            <w:szCs w:val="15"/>
                          </w:rPr>
                          <w:t>，</w:t>
                        </w:r>
                        <w:r>
                          <w:rPr>
                            <w:rFonts w:hint="eastAsia" w:ascii="仿宋_GB2312" w:hAnsi="仿宋_GB2312" w:eastAsia="仿宋_GB2312" w:cs="仿宋_GB2312"/>
                            <w:b w:val="0"/>
                            <w:bCs w:val="0"/>
                            <w:spacing w:val="-45"/>
                            <w:sz w:val="15"/>
                            <w:szCs w:val="15"/>
                          </w:rPr>
                          <w:t xml:space="preserve"> </w:t>
                        </w:r>
                        <w:r>
                          <w:rPr>
                            <w:rFonts w:hint="eastAsia" w:ascii="仿宋_GB2312" w:hAnsi="仿宋_GB2312" w:eastAsia="仿宋_GB2312" w:cs="仿宋_GB2312"/>
                            <w:b w:val="0"/>
                            <w:bCs w:val="0"/>
                            <w:spacing w:val="-5"/>
                            <w:sz w:val="15"/>
                            <w:szCs w:val="15"/>
                          </w:rPr>
                          <w:t>确</w:t>
                        </w:r>
                        <w:r>
                          <w:rPr>
                            <w:rFonts w:hint="eastAsia" w:ascii="仿宋_GB2312" w:hAnsi="仿宋_GB2312" w:eastAsia="仿宋_GB2312" w:cs="仿宋_GB2312"/>
                            <w:b w:val="0"/>
                            <w:bCs w:val="0"/>
                            <w:spacing w:val="-3"/>
                            <w:sz w:val="15"/>
                            <w:szCs w:val="15"/>
                          </w:rPr>
                          <w:t>定</w:t>
                        </w:r>
                        <w:r>
                          <w:rPr>
                            <w:rFonts w:hint="eastAsia" w:ascii="仿宋_GB2312" w:hAnsi="仿宋_GB2312" w:eastAsia="仿宋_GB2312" w:cs="仿宋_GB2312"/>
                            <w:b w:val="0"/>
                            <w:bCs w:val="0"/>
                            <w:spacing w:val="-3"/>
                            <w:sz w:val="15"/>
                            <w:szCs w:val="15"/>
                            <w:lang w:val="en-US" w:eastAsia="zh-CN"/>
                          </w:rPr>
                          <w:t>投资估算和</w:t>
                        </w:r>
                        <w:r>
                          <w:rPr>
                            <w:rFonts w:hint="eastAsia" w:ascii="仿宋_GB2312" w:hAnsi="仿宋_GB2312" w:eastAsia="仿宋_GB2312" w:cs="仿宋_GB2312"/>
                            <w:b w:val="0"/>
                            <w:bCs w:val="0"/>
                            <w:spacing w:val="-3"/>
                            <w:sz w:val="15"/>
                            <w:szCs w:val="15"/>
                          </w:rPr>
                          <w:t>实施方案及资金来源，</w:t>
                        </w:r>
                        <w:r>
                          <w:rPr>
                            <w:rFonts w:hint="eastAsia" w:ascii="仿宋_GB2312" w:hAnsi="仿宋_GB2312" w:eastAsia="仿宋_GB2312" w:cs="仿宋_GB2312"/>
                            <w:b w:val="0"/>
                            <w:bCs w:val="0"/>
                            <w:spacing w:val="-3"/>
                            <w:sz w:val="15"/>
                            <w:szCs w:val="15"/>
                            <w:lang w:val="en-US" w:eastAsia="zh-CN"/>
                          </w:rPr>
                          <w:t>按规定进行事前绩效评估且由主管部门审核后项目总投资300万元（含）以上的上</w:t>
                        </w:r>
                        <w:r>
                          <w:rPr>
                            <w:rFonts w:hint="eastAsia" w:ascii="仿宋_GB2312" w:hAnsi="仿宋_GB2312" w:eastAsia="仿宋_GB2312" w:cs="仿宋_GB2312"/>
                            <w:b w:val="0"/>
                            <w:bCs w:val="0"/>
                            <w:spacing w:val="-3"/>
                            <w:sz w:val="15"/>
                            <w:szCs w:val="15"/>
                          </w:rPr>
                          <w:t>报</w:t>
                        </w:r>
                        <w:r>
                          <w:rPr>
                            <w:rFonts w:hint="eastAsia" w:ascii="仿宋_GB2312" w:hAnsi="仿宋_GB2312" w:eastAsia="仿宋_GB2312" w:cs="仿宋_GB2312"/>
                            <w:b w:val="0"/>
                            <w:bCs w:val="0"/>
                            <w:spacing w:val="-3"/>
                            <w:sz w:val="15"/>
                            <w:szCs w:val="15"/>
                            <w:lang w:val="en-US" w:eastAsia="zh-CN"/>
                          </w:rPr>
                          <w:t>县政府常务会研究后审批，</w:t>
                        </w:r>
                        <w:r>
                          <w:rPr>
                            <w:rFonts w:hint="eastAsia" w:ascii="仿宋_GB2312" w:hAnsi="仿宋_GB2312" w:eastAsia="仿宋_GB2312" w:cs="仿宋_GB2312"/>
                            <w:b w:val="0"/>
                            <w:bCs w:val="0"/>
                            <w:spacing w:val="-5"/>
                            <w:sz w:val="15"/>
                            <w:szCs w:val="15"/>
                            <w:lang w:val="en-US" w:eastAsia="zh-CN"/>
                          </w:rPr>
                          <w:t>填报《政府投资项目决策审批表》。项目审议</w:t>
                        </w:r>
                        <w:r>
                          <w:rPr>
                            <w:rFonts w:hint="eastAsia" w:ascii="仿宋_GB2312" w:hAnsi="仿宋_GB2312" w:eastAsia="仿宋_GB2312" w:cs="仿宋_GB2312"/>
                            <w:b w:val="0"/>
                            <w:bCs w:val="0"/>
                            <w:spacing w:val="-5"/>
                            <w:sz w:val="15"/>
                            <w:szCs w:val="15"/>
                          </w:rPr>
                          <w:t>通</w:t>
                        </w:r>
                        <w:r>
                          <w:rPr>
                            <w:rFonts w:hint="eastAsia" w:ascii="仿宋_GB2312" w:hAnsi="仿宋_GB2312" w:eastAsia="仿宋_GB2312" w:cs="仿宋_GB2312"/>
                            <w:b w:val="0"/>
                            <w:bCs w:val="0"/>
                            <w:spacing w:val="0"/>
                            <w:sz w:val="15"/>
                            <w:szCs w:val="15"/>
                          </w:rPr>
                          <w:t>过后</w:t>
                        </w:r>
                        <w:r>
                          <w:rPr>
                            <w:rFonts w:hint="eastAsia" w:ascii="仿宋_GB2312" w:hAnsi="仿宋_GB2312" w:eastAsia="仿宋_GB2312" w:cs="仿宋_GB2312"/>
                            <w:b w:val="0"/>
                            <w:bCs w:val="0"/>
                            <w:spacing w:val="0"/>
                            <w:sz w:val="15"/>
                            <w:szCs w:val="15"/>
                            <w:lang w:val="en-US" w:eastAsia="zh-CN"/>
                          </w:rPr>
                          <w:t>列入政府投资项目储备库</w:t>
                        </w:r>
                        <w:r>
                          <w:rPr>
                            <w:rFonts w:hint="eastAsia" w:ascii="仿宋_GB2312" w:hAnsi="仿宋_GB2312" w:eastAsia="仿宋_GB2312" w:cs="仿宋_GB2312"/>
                            <w:b w:val="0"/>
                            <w:bCs w:val="0"/>
                            <w:spacing w:val="0"/>
                            <w:sz w:val="15"/>
                            <w:szCs w:val="15"/>
                          </w:rPr>
                          <w:t>，</w:t>
                        </w:r>
                      </w:p>
                    </w:txbxContent>
                  </v:textbox>
                </v:rect>
                <v:rect id="_x0000_s1026" o:spid="_x0000_s1026" o:spt="1" style="position:absolute;left:7202;top:210077;height:617;width:1387;" fillcolor="#FFFFFF" filled="t" stroked="t" coordsize="21600,21600" o:gfxdata="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OSN+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9867DD0">
                        <w:pPr>
                          <w:ind w:firstLine="180" w:firstLineChars="100"/>
                          <w:jc w:val="both"/>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前期工作</w:t>
                        </w:r>
                      </w:p>
                    </w:txbxContent>
                  </v:textbox>
                </v:rect>
                <v:rect id="_x0000_s1026" o:spid="_x0000_s1026" o:spt="1" style="position:absolute;left:9333;top:210069;height:612;width:1618;" fillcolor="#FFFFFF" filled="t" stroked="t" coordsize="21600,21600" o:gfxdata="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Kfb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37CC902">
                        <w:pPr>
                          <w:keepNext w:val="0"/>
                          <w:keepLines w:val="0"/>
                          <w:pageBreakBefore w:val="0"/>
                          <w:widowControl w:val="0"/>
                          <w:kinsoku/>
                          <w:wordWrap/>
                          <w:overflowPunct/>
                          <w:topLinePunct w:val="0"/>
                          <w:bidi w:val="0"/>
                          <w:adjustRightInd/>
                          <w:snapToGrid/>
                          <w:spacing w:line="220" w:lineRule="exact"/>
                          <w:jc w:val="center"/>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建设单位及其主管部门</w:t>
                        </w:r>
                      </w:p>
                    </w:txbxContent>
                  </v:textbox>
                </v:rect>
                <v:rect id="_x0000_s1026" o:spid="_x0000_s1026" o:spt="1" style="position:absolute;left:9308;top:211076;height:1345;width:1630;" fillcolor="#FFFFFF" filled="t" stroked="t" coordsize="21600,21600" o:gfxdata="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Ka3D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1800FAE">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县发改</w:t>
                        </w:r>
                        <w:r>
                          <w:rPr>
                            <w:rFonts w:hint="eastAsia" w:ascii="仿宋_GB2312" w:eastAsia="仿宋_GB2312"/>
                            <w:b w:val="0"/>
                            <w:bCs/>
                            <w:sz w:val="18"/>
                            <w:szCs w:val="18"/>
                          </w:rPr>
                          <w:t>局</w:t>
                        </w:r>
                        <w:r>
                          <w:rPr>
                            <w:rFonts w:hint="eastAsia" w:ascii="仿宋_GB2312" w:eastAsia="仿宋_GB2312"/>
                            <w:b w:val="0"/>
                            <w:bCs/>
                            <w:sz w:val="18"/>
                            <w:szCs w:val="18"/>
                            <w:lang w:eastAsia="zh-CN"/>
                          </w:rPr>
                          <w:t>、</w:t>
                        </w:r>
                        <w:r>
                          <w:rPr>
                            <w:rFonts w:hint="eastAsia" w:ascii="仿宋_GB2312" w:eastAsia="仿宋_GB2312"/>
                            <w:b w:val="0"/>
                            <w:bCs/>
                            <w:sz w:val="18"/>
                            <w:szCs w:val="18"/>
                            <w:lang w:val="en-US" w:eastAsia="zh-CN"/>
                          </w:rPr>
                          <w:t>行政审批服务局、自然资源和规划局等有关部门、建设单位</w:t>
                        </w:r>
                      </w:p>
                    </w:txbxContent>
                  </v:textbox>
                </v:rect>
                <v:rect id="_x0000_s1026" o:spid="_x0000_s1026" o:spt="1" style="position:absolute;left:11536;top:210856;height:1191;width:4770;" fillcolor="#FFFFFF" filled="t" stroked="t" coordsize="21600,21600" o:gfxdata="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iSl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A55D304">
                        <w:pPr>
                          <w:keepNext w:val="0"/>
                          <w:keepLines w:val="0"/>
                          <w:pageBreakBefore w:val="0"/>
                          <w:widowControl w:val="0"/>
                          <w:kinsoku/>
                          <w:wordWrap/>
                          <w:overflowPunct/>
                          <w:topLinePunct w:val="0"/>
                          <w:bidi w:val="0"/>
                          <w:adjustRightInd/>
                          <w:snapToGrid/>
                          <w:spacing w:line="200" w:lineRule="exact"/>
                          <w:textAlignment w:val="auto"/>
                          <w:rPr>
                            <w:rFonts w:hint="default" w:ascii="仿宋_GB2312" w:hAnsi="仿宋_GB2312" w:eastAsia="仿宋_GB2312" w:cs="仿宋_GB2312"/>
                            <w:b w:val="0"/>
                            <w:bCs w:val="0"/>
                            <w:color w:val="auto"/>
                            <w:sz w:val="15"/>
                            <w:szCs w:val="15"/>
                            <w:lang w:val="en-US"/>
                          </w:rPr>
                        </w:pPr>
                        <w:r>
                          <w:rPr>
                            <w:rFonts w:hint="eastAsia" w:ascii="仿宋_GB2312" w:hAnsi="仿宋_GB2312" w:eastAsia="仿宋_GB2312" w:cs="仿宋_GB2312"/>
                            <w:b w:val="0"/>
                            <w:bCs w:val="0"/>
                            <w:spacing w:val="0"/>
                            <w:sz w:val="15"/>
                            <w:szCs w:val="15"/>
                            <w:lang w:val="en-US" w:eastAsia="zh-CN"/>
                          </w:rPr>
                          <w:t>项目列入计划后，建设单位应及时办理</w:t>
                        </w:r>
                        <w:r>
                          <w:rPr>
                            <w:rFonts w:hint="eastAsia" w:ascii="仿宋_GB2312" w:hAnsi="仿宋_GB2312" w:eastAsia="仿宋_GB2312" w:cs="仿宋_GB2312"/>
                            <w:b w:val="0"/>
                            <w:bCs w:val="0"/>
                            <w:spacing w:val="0"/>
                            <w:sz w:val="15"/>
                            <w:szCs w:val="15"/>
                          </w:rPr>
                          <w:t>用地预审与</w:t>
                        </w:r>
                        <w:r>
                          <w:rPr>
                            <w:rFonts w:hint="eastAsia" w:ascii="仿宋_GB2312" w:hAnsi="仿宋_GB2312" w:eastAsia="仿宋_GB2312" w:cs="仿宋_GB2312"/>
                            <w:b w:val="0"/>
                            <w:bCs w:val="0"/>
                            <w:spacing w:val="0"/>
                            <w:sz w:val="15"/>
                            <w:szCs w:val="15"/>
                            <w:lang w:val="en-US" w:eastAsia="zh-CN"/>
                          </w:rPr>
                          <w:t>选</w:t>
                        </w:r>
                        <w:r>
                          <w:rPr>
                            <w:rFonts w:hint="eastAsia" w:ascii="仿宋_GB2312" w:hAnsi="仿宋_GB2312" w:eastAsia="仿宋_GB2312" w:cs="仿宋_GB2312"/>
                            <w:b w:val="0"/>
                            <w:bCs w:val="0"/>
                            <w:spacing w:val="0"/>
                            <w:sz w:val="15"/>
                            <w:szCs w:val="15"/>
                          </w:rPr>
                          <w:t>址意见</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能评等前期手续</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连同编制的可研、初步设计概算等资料</w:t>
                        </w:r>
                        <w:r>
                          <w:rPr>
                            <w:rFonts w:hint="eastAsia" w:ascii="仿宋_GB2312" w:hAnsi="仿宋_GB2312" w:eastAsia="仿宋_GB2312" w:cs="仿宋_GB2312"/>
                            <w:b w:val="0"/>
                            <w:bCs w:val="0"/>
                            <w:spacing w:val="0"/>
                            <w:sz w:val="15"/>
                            <w:szCs w:val="15"/>
                          </w:rPr>
                          <w:t>报</w:t>
                        </w:r>
                        <w:r>
                          <w:rPr>
                            <w:rFonts w:hint="eastAsia" w:ascii="仿宋_GB2312" w:hAnsi="仿宋_GB2312" w:eastAsia="仿宋_GB2312" w:cs="仿宋_GB2312"/>
                            <w:b w:val="0"/>
                            <w:bCs w:val="0"/>
                            <w:color w:val="auto"/>
                            <w:spacing w:val="0"/>
                            <w:sz w:val="15"/>
                            <w:szCs w:val="15"/>
                            <w:lang w:val="en-US" w:eastAsia="zh-CN"/>
                          </w:rPr>
                          <w:t>县</w:t>
                        </w:r>
                        <w:r>
                          <w:rPr>
                            <w:rFonts w:hint="eastAsia" w:ascii="仿宋_GB2312" w:hAnsi="仿宋_GB2312" w:eastAsia="仿宋_GB2312" w:cs="仿宋_GB2312"/>
                            <w:b w:val="0"/>
                            <w:bCs w:val="0"/>
                            <w:color w:val="auto"/>
                            <w:spacing w:val="0"/>
                            <w:sz w:val="15"/>
                            <w:szCs w:val="15"/>
                          </w:rPr>
                          <w:t>发改局</w:t>
                        </w:r>
                        <w:r>
                          <w:rPr>
                            <w:rFonts w:hint="eastAsia" w:ascii="仿宋_GB2312" w:hAnsi="仿宋_GB2312" w:eastAsia="仿宋_GB2312" w:cs="仿宋_GB2312"/>
                            <w:b w:val="0"/>
                            <w:bCs w:val="0"/>
                            <w:color w:val="auto"/>
                            <w:spacing w:val="0"/>
                            <w:sz w:val="15"/>
                            <w:szCs w:val="15"/>
                            <w:lang w:val="en-US" w:eastAsia="zh-CN"/>
                          </w:rPr>
                          <w:t>或者其他有关部门</w:t>
                        </w:r>
                        <w:r>
                          <w:rPr>
                            <w:rFonts w:hint="eastAsia" w:ascii="仿宋_GB2312" w:hAnsi="仿宋_GB2312" w:eastAsia="仿宋_GB2312" w:cs="仿宋_GB2312"/>
                            <w:b w:val="0"/>
                            <w:bCs w:val="0"/>
                            <w:color w:val="auto"/>
                            <w:spacing w:val="0"/>
                            <w:sz w:val="15"/>
                            <w:szCs w:val="15"/>
                          </w:rPr>
                          <w:t>审批。</w:t>
                        </w:r>
                        <w:r>
                          <w:rPr>
                            <w:rFonts w:hint="eastAsia" w:ascii="仿宋_GB2312" w:hAnsi="仿宋_GB2312" w:eastAsia="仿宋_GB2312" w:cs="仿宋_GB2312"/>
                            <w:b w:val="0"/>
                            <w:bCs w:val="0"/>
                            <w:color w:val="auto"/>
                            <w:spacing w:val="0"/>
                            <w:sz w:val="15"/>
                            <w:szCs w:val="15"/>
                            <w:lang w:val="en-US" w:eastAsia="zh-CN"/>
                          </w:rPr>
                          <w:t>县自然资源和规划局、住房和城乡建设局等要素保障部门按照各自职责提出</w:t>
                        </w:r>
                        <w:r>
                          <w:rPr>
                            <w:rFonts w:hint="eastAsia" w:ascii="仿宋_GB2312" w:hAnsi="仿宋_GB2312" w:eastAsia="仿宋_GB2312" w:cs="仿宋_GB2312"/>
                            <w:b w:val="0"/>
                            <w:bCs w:val="0"/>
                            <w:color w:val="auto"/>
                            <w:sz w:val="15"/>
                            <w:szCs w:val="15"/>
                            <w:lang w:val="en-US" w:eastAsia="zh-CN"/>
                          </w:rPr>
                          <w:t>项目初审意见。项目自批准之日起，原则上3个月内完成前期工作并报送审批。</w:t>
                        </w:r>
                      </w:p>
                    </w:txbxContent>
                  </v:textbox>
                </v:rect>
                <v:rect id="_x0000_s1026" o:spid="_x0000_s1026" o:spt="1" style="position:absolute;left:7205;top:211314;height:631;width:1430;"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EFEA8BE">
                        <w:pPr>
                          <w:keepNext w:val="0"/>
                          <w:keepLines w:val="0"/>
                          <w:pageBreakBefore w:val="0"/>
                          <w:widowControl w:val="0"/>
                          <w:kinsoku/>
                          <w:wordWrap/>
                          <w:overflowPunct/>
                          <w:topLinePunct w:val="0"/>
                          <w:bidi w:val="0"/>
                          <w:adjustRightInd/>
                          <w:snapToGrid/>
                          <w:spacing w:line="240" w:lineRule="exact"/>
                          <w:jc w:val="center"/>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rPr>
                          <w:t>项目立项</w:t>
                        </w:r>
                        <w:r>
                          <w:rPr>
                            <w:rFonts w:hint="eastAsia" w:ascii="仿宋_GB2312" w:eastAsia="仿宋_GB2312"/>
                            <w:b w:val="0"/>
                            <w:bCs/>
                            <w:sz w:val="18"/>
                            <w:szCs w:val="18"/>
                            <w:lang w:val="en-US" w:eastAsia="zh-CN"/>
                          </w:rPr>
                          <w:t>审批（含概算）</w:t>
                        </w:r>
                      </w:p>
                    </w:txbxContent>
                  </v:textbox>
                </v:rect>
                <v:rect id="_x0000_s1026" o:spid="_x0000_s1026" o:spt="1" style="position:absolute;left:11534;top:212111;height:1470;width:4762;"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EE4DE28">
                        <w:pPr>
                          <w:keepNext w:val="0"/>
                          <w:keepLines w:val="0"/>
                          <w:pageBreakBefore w:val="0"/>
                          <w:widowControl w:val="0"/>
                          <w:kinsoku/>
                          <w:wordWrap/>
                          <w:overflowPunct/>
                          <w:topLinePunct w:val="0"/>
                          <w:bidi w:val="0"/>
                          <w:adjustRightInd/>
                          <w:snapToGrid/>
                          <w:spacing w:line="180" w:lineRule="exact"/>
                          <w:jc w:val="left"/>
                          <w:textAlignment w:val="auto"/>
                          <w:rPr>
                            <w:color w:val="FF0000"/>
                            <w:sz w:val="16"/>
                            <w:szCs w:val="16"/>
                            <w:highlight w:val="none"/>
                          </w:rPr>
                        </w:pPr>
                        <w:r>
                          <w:rPr>
                            <w:rFonts w:hint="eastAsia" w:ascii="仿宋_GB2312" w:hAnsi="仿宋_GB2312" w:eastAsia="仿宋_GB2312" w:cs="仿宋_GB2312"/>
                            <w:b w:val="0"/>
                            <w:bCs w:val="0"/>
                            <w:spacing w:val="0"/>
                            <w:sz w:val="15"/>
                            <w:szCs w:val="15"/>
                          </w:rPr>
                          <w:t>造价评审机构选取时</w:t>
                        </w:r>
                        <w:r>
                          <w:rPr>
                            <w:rFonts w:hint="eastAsia" w:ascii="仿宋_GB2312" w:hAnsi="仿宋_GB2312" w:eastAsia="仿宋_GB2312" w:cs="仿宋_GB2312"/>
                            <w:b w:val="0"/>
                            <w:bCs w:val="0"/>
                            <w:color w:val="auto"/>
                            <w:spacing w:val="0"/>
                            <w:sz w:val="15"/>
                            <w:szCs w:val="15"/>
                            <w:lang w:eastAsia="zh-CN"/>
                          </w:rPr>
                          <w:t>，</w:t>
                        </w:r>
                        <w:r>
                          <w:rPr>
                            <w:rFonts w:hint="eastAsia" w:ascii="仿宋_GB2312" w:hAnsi="仿宋_GB2312" w:eastAsia="仿宋_GB2312" w:cs="仿宋_GB2312"/>
                            <w:b w:val="0"/>
                            <w:bCs w:val="0"/>
                            <w:color w:val="auto"/>
                            <w:spacing w:val="0"/>
                            <w:sz w:val="15"/>
                            <w:szCs w:val="15"/>
                            <w:lang w:val="en-US" w:eastAsia="zh-CN"/>
                          </w:rPr>
                          <w:t>1000万元以上项目</w:t>
                        </w:r>
                        <w:r>
                          <w:rPr>
                            <w:rFonts w:hint="eastAsia" w:ascii="仿宋_GB2312" w:hAnsi="仿宋_GB2312" w:eastAsia="仿宋_GB2312" w:cs="仿宋_GB2312"/>
                            <w:b w:val="0"/>
                            <w:bCs w:val="0"/>
                            <w:color w:val="auto"/>
                            <w:spacing w:val="0"/>
                            <w:sz w:val="15"/>
                            <w:szCs w:val="15"/>
                          </w:rPr>
                          <w:t>应</w:t>
                        </w:r>
                        <w:r>
                          <w:rPr>
                            <w:rFonts w:hint="eastAsia" w:ascii="仿宋_GB2312" w:hAnsi="仿宋_GB2312" w:eastAsia="仿宋_GB2312" w:cs="仿宋_GB2312"/>
                            <w:b w:val="0"/>
                            <w:bCs w:val="0"/>
                            <w:spacing w:val="0"/>
                            <w:sz w:val="15"/>
                            <w:szCs w:val="15"/>
                          </w:rPr>
                          <w:t>邀请</w:t>
                        </w:r>
                        <w:r>
                          <w:rPr>
                            <w:rFonts w:hint="eastAsia" w:ascii="仿宋_GB2312" w:hAnsi="仿宋_GB2312" w:eastAsia="仿宋_GB2312" w:cs="仿宋_GB2312"/>
                            <w:b w:val="0"/>
                            <w:bCs w:val="0"/>
                            <w:spacing w:val="0"/>
                            <w:sz w:val="15"/>
                            <w:szCs w:val="15"/>
                            <w:lang w:val="en-US" w:eastAsia="zh-CN"/>
                          </w:rPr>
                          <w:t>主管部门、县</w:t>
                        </w:r>
                        <w:r>
                          <w:rPr>
                            <w:rFonts w:hint="eastAsia" w:ascii="仿宋_GB2312" w:hAnsi="仿宋_GB2312" w:eastAsia="仿宋_GB2312" w:cs="仿宋_GB2312"/>
                            <w:b w:val="0"/>
                            <w:bCs w:val="0"/>
                            <w:spacing w:val="0"/>
                            <w:sz w:val="15"/>
                            <w:szCs w:val="15"/>
                          </w:rPr>
                          <w:t>财政</w:t>
                        </w:r>
                        <w:r>
                          <w:rPr>
                            <w:rFonts w:hint="eastAsia" w:ascii="仿宋_GB2312" w:hAnsi="仿宋_GB2312" w:eastAsia="仿宋_GB2312" w:cs="仿宋_GB2312"/>
                            <w:b w:val="0"/>
                            <w:bCs w:val="0"/>
                            <w:spacing w:val="0"/>
                            <w:sz w:val="15"/>
                            <w:szCs w:val="15"/>
                            <w:lang w:val="en-US" w:eastAsia="zh-CN"/>
                          </w:rPr>
                          <w:t>局和县</w:t>
                        </w:r>
                        <w:r>
                          <w:rPr>
                            <w:rFonts w:hint="eastAsia" w:ascii="仿宋_GB2312" w:hAnsi="仿宋_GB2312" w:eastAsia="仿宋_GB2312" w:cs="仿宋_GB2312"/>
                            <w:b w:val="0"/>
                            <w:bCs w:val="0"/>
                            <w:spacing w:val="0"/>
                            <w:sz w:val="15"/>
                            <w:szCs w:val="15"/>
                          </w:rPr>
                          <w:t>人大代表</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政协委员全程监督</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原则上</w:t>
                        </w:r>
                        <w:r>
                          <w:rPr>
                            <w:rFonts w:hint="eastAsia" w:ascii="仿宋_GB2312" w:hAnsi="仿宋_GB2312" w:eastAsia="仿宋_GB2312" w:cs="仿宋_GB2312"/>
                            <w:b w:val="0"/>
                            <w:bCs w:val="0"/>
                            <w:spacing w:val="0"/>
                            <w:sz w:val="15"/>
                            <w:szCs w:val="15"/>
                            <w:lang w:val="en-US" w:eastAsia="zh-CN"/>
                          </w:rPr>
                          <w:t>投资</w:t>
                        </w:r>
                        <w:r>
                          <w:rPr>
                            <w:rFonts w:hint="eastAsia" w:ascii="仿宋_GB2312" w:hAnsi="仿宋_GB2312" w:eastAsia="仿宋_GB2312" w:cs="仿宋_GB2312"/>
                            <w:b w:val="0"/>
                            <w:bCs w:val="0"/>
                            <w:spacing w:val="0"/>
                            <w:sz w:val="15"/>
                            <w:szCs w:val="15"/>
                          </w:rPr>
                          <w:t>2000万元以上项目由</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级分管领导组织公开选取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5000万元以上项目报请</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委、</w:t>
                        </w:r>
                        <w:r>
                          <w:rPr>
                            <w:rFonts w:hint="eastAsia" w:ascii="仿宋_GB2312" w:hAnsi="仿宋_GB2312" w:eastAsia="仿宋_GB2312" w:cs="仿宋_GB2312"/>
                            <w:b w:val="0"/>
                            <w:bCs w:val="0"/>
                            <w:spacing w:val="0"/>
                            <w:sz w:val="15"/>
                            <w:szCs w:val="15"/>
                            <w:lang w:val="en-US" w:eastAsia="zh-CN"/>
                          </w:rPr>
                          <w:t>县</w:t>
                        </w:r>
                        <w:r>
                          <w:rPr>
                            <w:rFonts w:hint="eastAsia" w:ascii="仿宋_GB2312" w:hAnsi="仿宋_GB2312" w:eastAsia="仿宋_GB2312" w:cs="仿宋_GB2312"/>
                            <w:b w:val="0"/>
                            <w:bCs w:val="0"/>
                            <w:spacing w:val="0"/>
                            <w:sz w:val="15"/>
                            <w:szCs w:val="15"/>
                          </w:rPr>
                          <w:t>政府主要领导或委托有关领导组织选取</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color w:val="000000"/>
                            <w:spacing w:val="0"/>
                            <w:sz w:val="15"/>
                            <w:szCs w:val="15"/>
                            <w:lang w:val="en-US" w:eastAsia="zh-CN"/>
                          </w:rPr>
                          <w:t>1000</w:t>
                        </w:r>
                        <w:r>
                          <w:rPr>
                            <w:rFonts w:hint="eastAsia" w:ascii="仿宋_GB2312" w:hAnsi="仿宋_GB2312" w:eastAsia="仿宋_GB2312" w:cs="仿宋_GB2312"/>
                            <w:b w:val="0"/>
                            <w:bCs w:val="0"/>
                            <w:spacing w:val="0"/>
                            <w:sz w:val="15"/>
                            <w:szCs w:val="15"/>
                          </w:rPr>
                          <w:t>万元以下的项目选取1家机构编制，</w:t>
                        </w:r>
                        <w:r>
                          <w:rPr>
                            <w:rFonts w:hint="eastAsia" w:ascii="仿宋_GB2312" w:hAnsi="仿宋_GB2312" w:eastAsia="仿宋_GB2312" w:cs="仿宋_GB2312"/>
                            <w:b w:val="0"/>
                            <w:bCs w:val="0"/>
                            <w:spacing w:val="0"/>
                            <w:sz w:val="15"/>
                            <w:szCs w:val="15"/>
                            <w:lang w:val="en-US" w:eastAsia="zh-CN"/>
                          </w:rPr>
                          <w:t>10</w:t>
                        </w:r>
                        <w:r>
                          <w:rPr>
                            <w:rFonts w:hint="eastAsia" w:ascii="仿宋_GB2312" w:hAnsi="仿宋_GB2312" w:eastAsia="仿宋_GB2312" w:cs="仿宋_GB2312"/>
                            <w:b w:val="0"/>
                            <w:bCs w:val="0"/>
                            <w:spacing w:val="0"/>
                            <w:sz w:val="15"/>
                            <w:szCs w:val="15"/>
                          </w:rPr>
                          <w:t>00万元（含）及以上的项目选取2家机构编制</w:t>
                        </w:r>
                        <w:r>
                          <w:rPr>
                            <w:rFonts w:hint="eastAsia" w:ascii="仿宋_GB2312" w:hAnsi="仿宋_GB2312" w:eastAsia="仿宋_GB2312" w:cs="仿宋_GB2312"/>
                            <w:b w:val="0"/>
                            <w:bCs w:val="0"/>
                            <w:spacing w:val="0"/>
                            <w:sz w:val="15"/>
                            <w:szCs w:val="15"/>
                            <w:lang w:eastAsia="zh-CN"/>
                          </w:rPr>
                          <w:t>，</w:t>
                        </w:r>
                        <w:r>
                          <w:rPr>
                            <w:rFonts w:hint="eastAsia" w:ascii="仿宋_GB2312" w:hAnsi="仿宋_GB2312" w:eastAsia="仿宋_GB2312" w:cs="仿宋_GB2312"/>
                            <w:b w:val="0"/>
                            <w:bCs w:val="0"/>
                            <w:spacing w:val="0"/>
                            <w:sz w:val="15"/>
                            <w:szCs w:val="15"/>
                          </w:rPr>
                          <w:t>从中确定合理造价金额。</w:t>
                        </w:r>
                      </w:p>
                      <w:p w14:paraId="16618085">
                        <w:pPr>
                          <w:keepNext w:val="0"/>
                          <w:keepLines w:val="0"/>
                          <w:pageBreakBefore w:val="0"/>
                          <w:widowControl w:val="0"/>
                          <w:kinsoku/>
                          <w:wordWrap/>
                          <w:overflowPunct/>
                          <w:topLinePunct w:val="0"/>
                          <w:bidi w:val="0"/>
                          <w:adjustRightInd/>
                          <w:snapToGrid/>
                          <w:spacing w:line="180" w:lineRule="exact"/>
                          <w:jc w:val="left"/>
                          <w:textAlignment w:val="auto"/>
                          <w:rPr>
                            <w:rFonts w:hint="eastAsia" w:ascii="仿宋_GB2312" w:hAnsi="仿宋_GB2312" w:eastAsia="仿宋_GB2312" w:cs="仿宋_GB2312"/>
                            <w:b w:val="0"/>
                            <w:bCs w:val="0"/>
                            <w:spacing w:val="0"/>
                            <w:sz w:val="15"/>
                            <w:szCs w:val="15"/>
                          </w:rPr>
                        </w:pPr>
                      </w:p>
                      <w:p w14:paraId="325AAB23">
                        <w:pPr>
                          <w:jc w:val="left"/>
                        </w:pPr>
                      </w:p>
                    </w:txbxContent>
                  </v:textbox>
                </v:rect>
                <v:rect id="_x0000_s1026" o:spid="_x0000_s1026" o:spt="1" style="position:absolute;left:7173;top:212486;height:346;width:1498;"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40CF44A">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造价评审</w:t>
                        </w:r>
                      </w:p>
                      <w:p w14:paraId="41D9673F"/>
                    </w:txbxContent>
                  </v:textbox>
                </v:rect>
                <v:rect id="_x0000_s1026" o:spid="_x0000_s1026" o:spt="1" style="position:absolute;left:9332;top:212530;height:405;width:1649;" fillcolor="#FFFFFF" filled="t" stroked="t" coordsize="21600,21600" o:gfxdata="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u/A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6381EC1">
                        <w:pPr>
                          <w:spacing w:line="200" w:lineRule="exact"/>
                          <w:jc w:val="center"/>
                          <w:rPr>
                            <w:rFonts w:hint="eastAsia" w:ascii="仿宋_GB2312" w:hAnsi="仿宋" w:eastAsia="仿宋_GB2312" w:cs="仿宋"/>
                            <w:b w:val="0"/>
                            <w:bCs/>
                            <w:color w:val="000000"/>
                            <w:sz w:val="18"/>
                            <w:szCs w:val="18"/>
                            <w:lang w:eastAsia="zh-CN"/>
                          </w:rPr>
                        </w:pPr>
                        <w:r>
                          <w:rPr>
                            <w:rFonts w:hint="eastAsia" w:ascii="仿宋_GB2312" w:hAnsi="仿宋" w:eastAsia="仿宋_GB2312" w:cs="仿宋"/>
                            <w:b w:val="0"/>
                            <w:bCs/>
                            <w:color w:val="000000"/>
                            <w:sz w:val="18"/>
                            <w:szCs w:val="18"/>
                          </w:rPr>
                          <w:t>建设单位</w:t>
                        </w:r>
                      </w:p>
                      <w:p w14:paraId="3C46E34D"/>
                    </w:txbxContent>
                  </v:textbox>
                </v:rect>
                <v:rect id="_x0000_s1026" o:spid="_x0000_s1026" o:spt="1" style="position:absolute;left:11537;top:213362;height:860;width:4757;"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737D537">
                        <w:pPr>
                          <w:keepNext w:val="0"/>
                          <w:keepLines w:val="0"/>
                          <w:pageBreakBefore w:val="0"/>
                          <w:widowControl w:val="0"/>
                          <w:kinsoku/>
                          <w:wordWrap/>
                          <w:overflowPunct/>
                          <w:topLinePunct w:val="0"/>
                          <w:bidi w:val="0"/>
                          <w:adjustRightInd/>
                          <w:snapToGrid/>
                          <w:spacing w:line="180" w:lineRule="exact"/>
                          <w:jc w:val="both"/>
                          <w:textAlignment w:val="auto"/>
                          <w:rPr>
                            <w:rFonts w:hint="default" w:ascii="仿宋_GB2312" w:hAnsi="仿宋" w:eastAsia="仿宋_GB2312" w:cs="仿宋"/>
                            <w:b w:val="0"/>
                            <w:bCs/>
                            <w:sz w:val="15"/>
                            <w:szCs w:val="15"/>
                            <w:lang w:val="en-US" w:eastAsia="zh-CN"/>
                          </w:rPr>
                        </w:pPr>
                        <w:r>
                          <w:rPr>
                            <w:rFonts w:hint="eastAsia" w:ascii="仿宋_GB2312" w:hAnsi="仿宋" w:eastAsia="仿宋_GB2312" w:cs="仿宋"/>
                            <w:b w:val="0"/>
                            <w:bCs/>
                            <w:sz w:val="15"/>
                            <w:szCs w:val="15"/>
                          </w:rPr>
                          <w:t>建设单位提供相关材料到</w:t>
                        </w:r>
                        <w:r>
                          <w:rPr>
                            <w:rFonts w:hint="eastAsia" w:ascii="仿宋_GB2312" w:hAnsi="仿宋" w:eastAsia="仿宋_GB2312" w:cs="仿宋"/>
                            <w:b w:val="0"/>
                            <w:bCs/>
                            <w:sz w:val="15"/>
                            <w:szCs w:val="15"/>
                            <w:lang w:val="en-US" w:eastAsia="zh-CN"/>
                          </w:rPr>
                          <w:t>县</w:t>
                        </w:r>
                        <w:r>
                          <w:rPr>
                            <w:rFonts w:hint="eastAsia" w:ascii="仿宋_GB2312" w:hAnsi="仿宋" w:eastAsia="仿宋_GB2312" w:cs="仿宋"/>
                            <w:b w:val="0"/>
                            <w:bCs/>
                            <w:sz w:val="15"/>
                            <w:szCs w:val="15"/>
                          </w:rPr>
                          <w:t>财政局进行项目</w:t>
                        </w:r>
                        <w:r>
                          <w:rPr>
                            <w:rFonts w:hint="eastAsia" w:ascii="仿宋_GB2312" w:hAnsi="仿宋" w:eastAsia="仿宋_GB2312" w:cs="仿宋"/>
                            <w:b w:val="0"/>
                            <w:bCs/>
                            <w:sz w:val="15"/>
                            <w:szCs w:val="15"/>
                            <w:lang w:val="en-US" w:eastAsia="zh-CN"/>
                          </w:rPr>
                          <w:t>预算评审，预算评审结果作为安排预算的重要参考</w:t>
                        </w:r>
                        <w:r>
                          <w:rPr>
                            <w:rFonts w:hint="eastAsia" w:ascii="仿宋_GB2312" w:hAnsi="仿宋" w:eastAsia="仿宋_GB2312" w:cs="仿宋"/>
                            <w:b w:val="0"/>
                            <w:bCs/>
                            <w:sz w:val="15"/>
                            <w:szCs w:val="15"/>
                          </w:rPr>
                          <w:t>。</w:t>
                        </w:r>
                        <w:r>
                          <w:rPr>
                            <w:rFonts w:hint="eastAsia" w:ascii="仿宋_GB2312" w:hAnsi="仿宋" w:eastAsia="仿宋_GB2312" w:cs="仿宋"/>
                            <w:b w:val="0"/>
                            <w:bCs/>
                            <w:sz w:val="15"/>
                            <w:szCs w:val="15"/>
                            <w:lang w:val="en-US" w:eastAsia="zh-CN"/>
                          </w:rPr>
                          <w:t>建设单位将项目纳入预算编报范围，通过“预算管理一体化系统”与部门预算、项目绩效目标同步编报、同步审核、同步批复。</w:t>
                        </w:r>
                      </w:p>
                      <w:p w14:paraId="5466A6A6">
                        <w:pPr>
                          <w:rPr>
                            <w:b/>
                            <w:bCs w:val="0"/>
                            <w:sz w:val="15"/>
                            <w:szCs w:val="15"/>
                          </w:rPr>
                        </w:pPr>
                      </w:p>
                    </w:txbxContent>
                  </v:textbox>
                </v:rect>
                <v:rect id="_x0000_s1026" o:spid="_x0000_s1026" o:spt="1" style="position:absolute;left:9332;top:213249;height:583;width:1635;" fillcolor="#FFFFFF" filled="t" stroked="t" coordsize="21600,21600" o:gfxdata="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cHpG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B62211E">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县</w:t>
                        </w:r>
                        <w:r>
                          <w:rPr>
                            <w:rFonts w:hint="eastAsia" w:ascii="仿宋_GB2312" w:hAnsi="仿宋" w:eastAsia="仿宋_GB2312" w:cs="仿宋"/>
                            <w:b w:val="0"/>
                            <w:bCs/>
                            <w:color w:val="000000"/>
                            <w:sz w:val="18"/>
                            <w:szCs w:val="18"/>
                          </w:rPr>
                          <w:t>财政局</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建设单位、主管部门</w:t>
                        </w:r>
                      </w:p>
                      <w:p w14:paraId="01EF7C81">
                        <w:pPr>
                          <w:rPr>
                            <w:rFonts w:hint="default"/>
                            <w:lang w:val="en-US" w:eastAsia="zh-CN"/>
                          </w:rPr>
                        </w:pPr>
                      </w:p>
                    </w:txbxContent>
                  </v:textbox>
                </v:rect>
                <v:rect id="_x0000_s1026" o:spid="_x0000_s1026" o:spt="1" style="position:absolute;left:7200;top:213337;height:576;width:1470;" fillcolor="#FFFFFF" filled="t" stroked="t" coordsize="21600,21600" o:gfxdata="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htgq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C219B4">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eastAsia="仿宋_GB2312"/>
                            <w:b w:val="0"/>
                            <w:bCs/>
                            <w:sz w:val="18"/>
                            <w:szCs w:val="18"/>
                            <w:lang w:val="en-US" w:eastAsia="zh-CN"/>
                          </w:rPr>
                        </w:pPr>
                        <w:r>
                          <w:rPr>
                            <w:rFonts w:hint="eastAsia" w:ascii="仿宋_GB2312" w:eastAsia="仿宋_GB2312"/>
                            <w:b w:val="0"/>
                            <w:bCs/>
                            <w:sz w:val="18"/>
                            <w:szCs w:val="18"/>
                            <w:lang w:val="en-US" w:eastAsia="zh-CN"/>
                          </w:rPr>
                          <w:t>预算评审、</w:t>
                        </w:r>
                      </w:p>
                      <w:p w14:paraId="3558A622">
                        <w:pPr>
                          <w:keepNext w:val="0"/>
                          <w:keepLines w:val="0"/>
                          <w:pageBreakBefore w:val="0"/>
                          <w:widowControl w:val="0"/>
                          <w:kinsoku/>
                          <w:wordWrap/>
                          <w:overflowPunct/>
                          <w:topLinePunct w:val="0"/>
                          <w:bidi w:val="0"/>
                          <w:adjustRightInd/>
                          <w:snapToGrid/>
                          <w:spacing w:line="200" w:lineRule="exact"/>
                          <w:ind w:firstLine="180" w:firstLineChars="100"/>
                          <w:jc w:val="both"/>
                          <w:textAlignment w:val="auto"/>
                          <w:rPr>
                            <w:rFonts w:hint="default" w:ascii="仿宋_GB2312" w:eastAsia="仿宋_GB2312"/>
                            <w:b w:val="0"/>
                            <w:bCs/>
                            <w:sz w:val="18"/>
                            <w:szCs w:val="18"/>
                            <w:lang w:val="en-US" w:eastAsia="zh-CN"/>
                          </w:rPr>
                        </w:pPr>
                        <w:r>
                          <w:rPr>
                            <w:rFonts w:hint="eastAsia" w:ascii="仿宋_GB2312" w:eastAsia="仿宋_GB2312"/>
                            <w:b w:val="0"/>
                            <w:bCs/>
                            <w:sz w:val="18"/>
                            <w:szCs w:val="18"/>
                            <w:lang w:val="en-US" w:eastAsia="zh-CN"/>
                          </w:rPr>
                          <w:t>预算编审</w:t>
                        </w:r>
                      </w:p>
                      <w:p w14:paraId="7F725E01">
                        <w:pPr>
                          <w:rPr>
                            <w:rFonts w:hint="default"/>
                            <w:lang w:val="en-US" w:eastAsia="zh-CN"/>
                          </w:rPr>
                        </w:pPr>
                      </w:p>
                    </w:txbxContent>
                  </v:textbox>
                </v:rect>
                <v:rect id="_x0000_s1026" o:spid="_x0000_s1026" o:spt="1" style="position:absolute;left:7157;top:214298;height:567;width:1534;" fillcolor="#FFFFFF" filled="t" stroked="t" coordsize="21600,21600" o:gfxdata="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A2oW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F618D62">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选招标代理、编制文件</w:t>
                        </w:r>
                      </w:p>
                      <w:p w14:paraId="7D93B0F1">
                        <w:pPr>
                          <w:rPr>
                            <w:rFonts w:hint="default"/>
                            <w:lang w:val="en-US" w:eastAsia="zh-CN"/>
                          </w:rPr>
                        </w:pPr>
                      </w:p>
                    </w:txbxContent>
                  </v:textbox>
                </v:rect>
                <v:rect id="_x0000_s1026" o:spid="_x0000_s1026" o:spt="1" style="position:absolute;left:9304;top:214271;height:597;width:1702;" fillcolor="#FFFFFF" filled="t" stroked="t" coordsize="21600,21600" o:gfxdata="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LzG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555F476B">
                        <w:pPr>
                          <w:spacing w:line="200" w:lineRule="exact"/>
                          <w:jc w:val="center"/>
                          <w:rPr>
                            <w:rFonts w:hint="eastAsia" w:ascii="仿宋_GB2312" w:hAnsi="仿宋_GB2312" w:eastAsia="仿宋_GB2312" w:cs="仿宋_GB2312"/>
                            <w:b w:val="0"/>
                            <w:bCs w:val="0"/>
                            <w:color w:val="000000"/>
                            <w:sz w:val="18"/>
                            <w:szCs w:val="18"/>
                          </w:rPr>
                        </w:pPr>
                        <w:r>
                          <w:rPr>
                            <w:rFonts w:hint="eastAsia" w:ascii="仿宋_GB2312" w:hAnsi="仿宋_GB2312" w:eastAsia="仿宋_GB2312" w:cs="仿宋_GB2312"/>
                            <w:b w:val="0"/>
                            <w:bCs/>
                            <w:color w:val="000000"/>
                            <w:sz w:val="18"/>
                            <w:szCs w:val="18"/>
                            <w:lang w:val="en-US" w:eastAsia="zh-CN"/>
                          </w:rPr>
                          <w:t>建设单位及招标代</w:t>
                        </w:r>
                        <w:r>
                          <w:rPr>
                            <w:rFonts w:hint="eastAsia" w:ascii="仿宋_GB2312" w:hAnsi="仿宋_GB2312" w:eastAsia="仿宋_GB2312" w:cs="仿宋_GB2312"/>
                            <w:b w:val="0"/>
                            <w:bCs w:val="0"/>
                            <w:spacing w:val="-9"/>
                            <w:sz w:val="18"/>
                            <w:szCs w:val="18"/>
                          </w:rPr>
                          <w:t>理机构、</w:t>
                        </w:r>
                        <w:r>
                          <w:rPr>
                            <w:rFonts w:hint="eastAsia" w:ascii="仿宋_GB2312" w:hAnsi="仿宋_GB2312" w:eastAsia="仿宋_GB2312" w:cs="仿宋_GB2312"/>
                            <w:b w:val="0"/>
                            <w:bCs w:val="0"/>
                            <w:spacing w:val="-9"/>
                            <w:sz w:val="18"/>
                            <w:szCs w:val="18"/>
                            <w:lang w:val="en-US" w:eastAsia="zh-CN"/>
                          </w:rPr>
                          <w:t>县</w:t>
                        </w:r>
                        <w:r>
                          <w:rPr>
                            <w:rFonts w:hint="eastAsia" w:ascii="仿宋_GB2312" w:hAnsi="仿宋_GB2312" w:eastAsia="仿宋_GB2312" w:cs="仿宋_GB2312"/>
                            <w:b w:val="0"/>
                            <w:bCs w:val="0"/>
                            <w:spacing w:val="-9"/>
                            <w:sz w:val="18"/>
                            <w:szCs w:val="18"/>
                          </w:rPr>
                          <w:t>司法局</w:t>
                        </w:r>
                      </w:p>
                      <w:p w14:paraId="5ABDE37B">
                        <w:pPr>
                          <w:rPr>
                            <w:rFonts w:hint="default"/>
                            <w:lang w:val="en-US" w:eastAsia="zh-CN"/>
                          </w:rPr>
                        </w:pPr>
                      </w:p>
                    </w:txbxContent>
                  </v:textbox>
                </v:rect>
                <v:rect id="_x0000_s1026" o:spid="_x0000_s1026" o:spt="1" style="position:absolute;left:9300;top:215088;height:588;width:1698;" fillcolor="#FFFFFF" filled="t" stroked="t" coordsize="21600,21600" o:gfxdata="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F9O97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64F2133D">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投标人、招标代理机构、评标委员会</w:t>
                        </w:r>
                      </w:p>
                    </w:txbxContent>
                  </v:textbox>
                </v:rect>
                <v:rect id="_x0000_s1026" o:spid="_x0000_s1026" o:spt="1" style="position:absolute;left:11538;top:215084;height:542;width:4811;" fillcolor="#FFFFFF" filled="t" stroked="t" coordsize="21600,21600" o:gfxdata="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E+ts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C615487">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rPr>
                          <w:t>投标人通过</w:t>
                        </w:r>
                        <w:r>
                          <w:rPr>
                            <w:rFonts w:hint="eastAsia" w:ascii="仿宋_GB2312" w:hAnsi="仿宋_GB2312" w:eastAsia="仿宋_GB2312" w:cs="仿宋_GB2312"/>
                            <w:b w:val="0"/>
                            <w:bCs w:val="0"/>
                            <w:spacing w:val="2"/>
                            <w:sz w:val="15"/>
                            <w:szCs w:val="15"/>
                            <w:lang w:val="en-US" w:eastAsia="zh-CN"/>
                          </w:rPr>
                          <w:t>冠县</w:t>
                        </w:r>
                        <w:r>
                          <w:rPr>
                            <w:rFonts w:hint="eastAsia" w:ascii="仿宋_GB2312" w:hAnsi="仿宋_GB2312" w:eastAsia="仿宋_GB2312" w:cs="仿宋_GB2312"/>
                            <w:b w:val="0"/>
                            <w:bCs w:val="0"/>
                            <w:spacing w:val="2"/>
                            <w:sz w:val="15"/>
                            <w:szCs w:val="15"/>
                          </w:rPr>
                          <w:t>公共资源</w:t>
                        </w:r>
                        <w:r>
                          <w:rPr>
                            <w:rFonts w:hint="eastAsia" w:ascii="仿宋_GB2312" w:hAnsi="仿宋_GB2312" w:eastAsia="仿宋_GB2312" w:cs="仿宋_GB2312"/>
                            <w:b w:val="0"/>
                            <w:bCs w:val="0"/>
                            <w:spacing w:val="2"/>
                            <w:sz w:val="15"/>
                            <w:szCs w:val="15"/>
                            <w:lang w:val="en-US" w:eastAsia="zh-CN"/>
                          </w:rPr>
                          <w:t>交易中心</w:t>
                        </w:r>
                        <w:r>
                          <w:rPr>
                            <w:rFonts w:hint="eastAsia" w:ascii="仿宋_GB2312" w:hAnsi="仿宋_GB2312" w:eastAsia="仿宋_GB2312" w:cs="仿宋_GB2312"/>
                            <w:b w:val="0"/>
                            <w:bCs w:val="0"/>
                            <w:spacing w:val="2"/>
                            <w:sz w:val="15"/>
                            <w:szCs w:val="15"/>
                          </w:rPr>
                          <w:t>交易系统进行网上投标</w:t>
                        </w:r>
                        <w:r>
                          <w:rPr>
                            <w:rFonts w:hint="eastAsia" w:ascii="仿宋_GB2312" w:hAnsi="仿宋_GB2312" w:eastAsia="仿宋_GB2312" w:cs="仿宋_GB2312"/>
                            <w:b w:val="0"/>
                            <w:bCs w:val="0"/>
                            <w:spacing w:val="2"/>
                            <w:sz w:val="15"/>
                            <w:szCs w:val="15"/>
                            <w:lang w:eastAsia="zh-CN"/>
                          </w:rPr>
                          <w:t>。</w:t>
                        </w:r>
                        <w:r>
                          <w:rPr>
                            <w:rFonts w:hint="eastAsia" w:ascii="仿宋_GB2312" w:hAnsi="仿宋_GB2312" w:eastAsia="仿宋_GB2312" w:cs="仿宋_GB2312"/>
                            <w:b w:val="0"/>
                            <w:bCs w:val="0"/>
                            <w:spacing w:val="2"/>
                            <w:sz w:val="15"/>
                            <w:szCs w:val="15"/>
                          </w:rPr>
                          <w:t>招标</w:t>
                        </w:r>
                        <w:r>
                          <w:rPr>
                            <w:rFonts w:hint="eastAsia" w:ascii="仿宋_GB2312" w:hAnsi="仿宋_GB2312" w:eastAsia="仿宋_GB2312" w:cs="仿宋_GB2312"/>
                            <w:b w:val="0"/>
                            <w:bCs w:val="0"/>
                            <w:spacing w:val="2"/>
                            <w:sz w:val="15"/>
                            <w:szCs w:val="15"/>
                            <w:lang w:val="en-US" w:eastAsia="zh-CN"/>
                          </w:rPr>
                          <w:t>代理机构协助评标委员会查询投标人信用记录。</w:t>
                        </w:r>
                      </w:p>
                    </w:txbxContent>
                  </v:textbox>
                </v:rect>
                <v:rect id="_x0000_s1026" o:spid="_x0000_s1026" o:spt="1" style="position:absolute;left:7218;top:215178;height:548;width:1440;" fillcolor="#FFFFFF" filled="t" stroked="t" coordsize="21600,21600" o:gfxdata="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Y5QX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FD5DA8A">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网上投标、信用审查</w:t>
                        </w:r>
                      </w:p>
                    </w:txbxContent>
                  </v:textbox>
                </v:rect>
                <v:rect id="_x0000_s1026" o:spid="_x0000_s1026" o:spt="1" style="position:absolute;left:11537;top:215675;height:773;width:4811;" fillcolor="#FFFFFF" filled="t" stroked="t" coordsize="21600,21600" o:gfxdata="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RQ3j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ADCF9A0">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000000"/>
                            <w:spacing w:val="-6"/>
                            <w:sz w:val="15"/>
                            <w:szCs w:val="15"/>
                            <w:lang w:val="en-US" w:eastAsia="zh-CN"/>
                          </w:rPr>
                        </w:pPr>
                        <w:r>
                          <w:rPr>
                            <w:rFonts w:hint="eastAsia" w:ascii="仿宋_GB2312" w:hAnsi="仿宋_GB2312" w:eastAsia="仿宋_GB2312" w:cs="仿宋_GB2312"/>
                            <w:b w:val="0"/>
                            <w:bCs w:val="0"/>
                            <w:spacing w:val="-6"/>
                            <w:sz w:val="15"/>
                            <w:szCs w:val="15"/>
                            <w:lang w:val="en-US" w:eastAsia="zh-CN"/>
                          </w:rPr>
                          <w:t>建设单位依法从省评审专家库中抽取评审专家，</w:t>
                        </w:r>
                        <w:r>
                          <w:rPr>
                            <w:rFonts w:hint="eastAsia" w:ascii="仿宋_GB2312" w:hAnsi="仿宋_GB2312" w:eastAsia="仿宋_GB2312" w:cs="仿宋_GB2312"/>
                            <w:b w:val="0"/>
                            <w:bCs w:val="0"/>
                            <w:spacing w:val="-6"/>
                            <w:sz w:val="15"/>
                            <w:szCs w:val="15"/>
                          </w:rPr>
                          <w:t>按程序依法开标、评标、定标，并进行结果公示</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公示期不少于3日</w:t>
                        </w:r>
                        <w:r>
                          <w:rPr>
                            <w:rFonts w:hint="eastAsia" w:ascii="仿宋_GB2312" w:hAnsi="仿宋_GB2312" w:eastAsia="仿宋_GB2312" w:cs="仿宋_GB2312"/>
                            <w:b w:val="0"/>
                            <w:bCs w:val="0"/>
                            <w:spacing w:val="-6"/>
                            <w:sz w:val="15"/>
                            <w:szCs w:val="15"/>
                          </w:rPr>
                          <w:t>。 公示结束后，</w:t>
                        </w:r>
                        <w:r>
                          <w:rPr>
                            <w:rFonts w:hint="eastAsia" w:ascii="仿宋_GB2312" w:hAnsi="仿宋_GB2312" w:eastAsia="仿宋_GB2312" w:cs="仿宋_GB2312"/>
                            <w:b w:val="0"/>
                            <w:bCs w:val="0"/>
                            <w:spacing w:val="-6"/>
                            <w:sz w:val="15"/>
                            <w:szCs w:val="15"/>
                            <w:lang w:val="en-US" w:eastAsia="zh-CN"/>
                          </w:rPr>
                          <w:t>建设单位</w:t>
                        </w:r>
                        <w:r>
                          <w:rPr>
                            <w:rFonts w:hint="eastAsia" w:ascii="仿宋_GB2312" w:hAnsi="仿宋_GB2312" w:eastAsia="仿宋_GB2312" w:cs="仿宋_GB2312"/>
                            <w:b w:val="0"/>
                            <w:bCs w:val="0"/>
                            <w:spacing w:val="-6"/>
                            <w:sz w:val="15"/>
                            <w:szCs w:val="15"/>
                          </w:rPr>
                          <w:t>向中标人签发中标通知书，</w:t>
                        </w:r>
                        <w:r>
                          <w:rPr>
                            <w:rFonts w:hint="eastAsia" w:ascii="仿宋_GB2312" w:hAnsi="仿宋_GB2312" w:eastAsia="仿宋_GB2312" w:cs="仿宋_GB2312"/>
                            <w:b w:val="0"/>
                            <w:bCs w:val="0"/>
                            <w:spacing w:val="-6"/>
                            <w:sz w:val="15"/>
                            <w:szCs w:val="15"/>
                            <w:lang w:val="en-US" w:eastAsia="zh-CN"/>
                          </w:rPr>
                          <w:t>于10个工作日内</w:t>
                        </w:r>
                        <w:r>
                          <w:rPr>
                            <w:rFonts w:hint="eastAsia" w:ascii="仿宋_GB2312" w:hAnsi="仿宋_GB2312" w:eastAsia="仿宋_GB2312" w:cs="仿宋_GB2312"/>
                            <w:b w:val="0"/>
                            <w:bCs w:val="0"/>
                            <w:spacing w:val="-6"/>
                            <w:sz w:val="15"/>
                            <w:szCs w:val="15"/>
                          </w:rPr>
                          <w:t>双方签订</w:t>
                        </w:r>
                        <w:r>
                          <w:rPr>
                            <w:rFonts w:hint="eastAsia" w:ascii="仿宋_GB2312" w:hAnsi="仿宋_GB2312" w:eastAsia="仿宋_GB2312" w:cs="仿宋_GB2312"/>
                            <w:b w:val="0"/>
                            <w:bCs w:val="0"/>
                            <w:spacing w:val="-6"/>
                            <w:sz w:val="15"/>
                            <w:szCs w:val="15"/>
                            <w:lang w:val="en-US" w:eastAsia="zh-CN"/>
                          </w:rPr>
                          <w:t>书面</w:t>
                        </w:r>
                        <w:r>
                          <w:rPr>
                            <w:rFonts w:hint="eastAsia" w:ascii="仿宋_GB2312" w:hAnsi="仿宋_GB2312" w:eastAsia="仿宋_GB2312" w:cs="仿宋_GB2312"/>
                            <w:b w:val="0"/>
                            <w:bCs w:val="0"/>
                            <w:spacing w:val="-6"/>
                            <w:sz w:val="15"/>
                            <w:szCs w:val="15"/>
                          </w:rPr>
                          <w:t>合同</w:t>
                        </w:r>
                        <w:r>
                          <w:rPr>
                            <w:rFonts w:hint="eastAsia" w:ascii="仿宋_GB2312" w:hAnsi="仿宋_GB2312" w:eastAsia="仿宋_GB2312" w:cs="仿宋_GB2312"/>
                            <w:b w:val="0"/>
                            <w:bCs w:val="0"/>
                            <w:spacing w:val="-6"/>
                            <w:sz w:val="15"/>
                            <w:szCs w:val="15"/>
                            <w:lang w:eastAsia="zh-CN"/>
                          </w:rPr>
                          <w:t>，</w:t>
                        </w:r>
                        <w:r>
                          <w:rPr>
                            <w:rFonts w:hint="eastAsia" w:ascii="仿宋_GB2312" w:hAnsi="仿宋_GB2312" w:eastAsia="仿宋_GB2312" w:cs="仿宋_GB2312"/>
                            <w:b w:val="0"/>
                            <w:bCs w:val="0"/>
                            <w:spacing w:val="-6"/>
                            <w:sz w:val="15"/>
                            <w:szCs w:val="15"/>
                            <w:lang w:val="en-US" w:eastAsia="zh-CN"/>
                          </w:rPr>
                          <w:t>并自合同签订之日起2个工作日内在“中国山东政府采购网”进行公示。</w:t>
                        </w:r>
                      </w:p>
                    </w:txbxContent>
                  </v:textbox>
                </v:rect>
                <v:rect id="_x0000_s1026" o:spid="_x0000_s1026" o:spt="1" style="position:absolute;left:7170;top:216055;height:447;width:1520;" fillcolor="#FFFFFF" filled="t" stroked="t" coordsize="21600,21600" o:gfxdata="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WT2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41D9B23D">
                        <w:pPr>
                          <w:spacing w:line="200" w:lineRule="exact"/>
                          <w:jc w:val="center"/>
                          <w:rPr>
                            <w:rFonts w:hint="eastAsia"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开标、评标、定标</w:t>
                        </w:r>
                      </w:p>
                    </w:txbxContent>
                  </v:textbox>
                </v:rect>
                <v:rect id="_x0000_s1026" o:spid="_x0000_s1026" o:spt="1" style="position:absolute;left:9279;top:215978;height:412;width:1719;" fillcolor="#FFFFFF" filled="t" stroked="t" coordsize="21600,21600" o:gfxdata="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KDGO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364961C">
                        <w:pPr>
                          <w:spacing w:line="200" w:lineRule="exact"/>
                          <w:jc w:val="center"/>
                          <w:rPr>
                            <w:rFonts w:hint="eastAsia"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建设单位、中标人</w:t>
                        </w:r>
                      </w:p>
                    </w:txbxContent>
                  </v:textbox>
                </v:rect>
                <v:rect id="_x0000_s1026" o:spid="_x0000_s1026" o:spt="1" style="position:absolute;left:11537;top:216492;height:1062;width:4823;" fillcolor="#FFFFFF" filled="t" stroked="t" coordsize="21600,21600" o:gfxdata="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aJy9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2484B673">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11"/>
                            <w:sz w:val="15"/>
                            <w:szCs w:val="15"/>
                            <w:lang w:val="en-US" w:eastAsia="zh-CN"/>
                          </w:rPr>
                          <w:t>建设单位和主管部门</w:t>
                        </w:r>
                        <w:r>
                          <w:rPr>
                            <w:rFonts w:hint="eastAsia" w:ascii="仿宋_GB2312" w:hAnsi="仿宋_GB2312" w:eastAsia="仿宋_GB2312" w:cs="仿宋_GB2312"/>
                            <w:b w:val="0"/>
                            <w:bCs w:val="0"/>
                            <w:spacing w:val="-11"/>
                            <w:sz w:val="15"/>
                            <w:szCs w:val="15"/>
                          </w:rPr>
                          <w:t>要对项目进展情况实时监</w:t>
                        </w:r>
                        <w:r>
                          <w:rPr>
                            <w:rFonts w:hint="eastAsia" w:ascii="仿宋_GB2312" w:hAnsi="仿宋_GB2312" w:eastAsia="仿宋_GB2312" w:cs="仿宋_GB2312"/>
                            <w:b w:val="0"/>
                            <w:bCs w:val="0"/>
                            <w:spacing w:val="-11"/>
                            <w:sz w:val="15"/>
                            <w:szCs w:val="15"/>
                            <w:lang w:val="en-US" w:eastAsia="zh-CN"/>
                          </w:rPr>
                          <w:t>管，完善和健全内控管理制度，加强工程变更管理，合同内变更按程序向县政府有关部门报备。出现初步设计提出的投资概算超过经批准的可研报告所确定的投资估算10%，或者建设单位、建设性质、建设地点、建设规模、技术方案发生重大变更的情形之一的，建设单位应向县发改局报告，县发改局可要求建设单位重新编制可研报批。</w:t>
                        </w:r>
                      </w:p>
                    </w:txbxContent>
                  </v:textbox>
                </v:rect>
                <v:rect id="_x0000_s1026" o:spid="_x0000_s1026" o:spt="1" style="position:absolute;left:7172;top:216779;height:524;width:1499;" fillcolor="#FFFFFF" filled="t" stroked="t" coordsize="21600,21600" o:gfxdata="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MkOS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5477F1">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实时</w:t>
                        </w:r>
                        <w:r>
                          <w:rPr>
                            <w:rFonts w:hint="eastAsia" w:ascii="仿宋_GB2312" w:hAnsi="仿宋" w:eastAsia="仿宋_GB2312" w:cs="仿宋"/>
                            <w:b w:val="0"/>
                            <w:bCs/>
                            <w:color w:val="000000"/>
                            <w:sz w:val="18"/>
                            <w:szCs w:val="18"/>
                          </w:rPr>
                          <w:t>监管</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变更管理</w:t>
                        </w:r>
                      </w:p>
                      <w:p w14:paraId="1A330253"/>
                    </w:txbxContent>
                  </v:textbox>
                </v:rect>
                <v:rect id="_x0000_s1026" o:spid="_x0000_s1026" o:spt="1" style="position:absolute;left:9257;top:216794;height:555;width:1771;" fillcolor="#FFFFFF" filled="t" stroked="t" coordsize="21600,21600" o:gfxdata="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EVgC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6FAB5A3">
                        <w:pPr>
                          <w:spacing w:line="200" w:lineRule="exact"/>
                          <w:jc w:val="center"/>
                          <w:rPr>
                            <w:rFonts w:hint="default" w:ascii="仿宋" w:hAnsi="仿宋" w:eastAsia="仿宋_GB2312"/>
                            <w:b w:val="0"/>
                            <w:bCs/>
                            <w:color w:val="000000"/>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val="en-US" w:eastAsia="zh-CN"/>
                          </w:rPr>
                          <w:t>及其主管部门</w:t>
                        </w:r>
                      </w:p>
                      <w:p w14:paraId="3A858A02"/>
                    </w:txbxContent>
                  </v:textbox>
                </v:rect>
                <v:rect id="_x0000_s1026" o:spid="_x0000_s1026" o:spt="1" style="position:absolute;left:11542;top:217595;height:900;width:4786;" fillcolor="#FFFFFF" filled="t" stroked="t" coordsize="21600,21600" o:gfxdata="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SPOb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6EF53886">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color w:val="000000"/>
                            <w:spacing w:val="-3"/>
                            <w:sz w:val="15"/>
                            <w:szCs w:val="15"/>
                            <w:lang w:val="en-US" w:eastAsia="zh-CN"/>
                          </w:rPr>
                          <w:t>县社会信用中心、县发改局与相关行政监督部门建立履约监管信息共享机制，实行联合惩戒。</w:t>
                        </w:r>
                        <w:r>
                          <w:rPr>
                            <w:rFonts w:hint="eastAsia" w:ascii="仿宋_GB2312" w:hAnsi="仿宋_GB2312" w:eastAsia="仿宋_GB2312" w:cs="仿宋_GB2312"/>
                            <w:b w:val="0"/>
                            <w:bCs w:val="0"/>
                            <w:spacing w:val="-3"/>
                            <w:sz w:val="15"/>
                            <w:szCs w:val="15"/>
                            <w:lang w:val="en-US" w:eastAsia="zh-CN"/>
                          </w:rPr>
                          <w:t>县发改局</w:t>
                        </w:r>
                        <w:r>
                          <w:rPr>
                            <w:rFonts w:hint="eastAsia" w:ascii="仿宋_GB2312" w:hAnsi="仿宋_GB2312" w:eastAsia="仿宋_GB2312" w:cs="仿宋_GB2312"/>
                            <w:b w:val="0"/>
                            <w:bCs w:val="0"/>
                            <w:spacing w:val="-7"/>
                            <w:sz w:val="15"/>
                            <w:szCs w:val="15"/>
                          </w:rPr>
                          <w:t>会同</w:t>
                        </w:r>
                        <w:r>
                          <w:rPr>
                            <w:rFonts w:hint="eastAsia" w:ascii="仿宋_GB2312" w:hAnsi="仿宋_GB2312" w:eastAsia="仿宋_GB2312" w:cs="仿宋_GB2312"/>
                            <w:b w:val="0"/>
                            <w:bCs w:val="0"/>
                            <w:spacing w:val="-7"/>
                            <w:sz w:val="15"/>
                            <w:szCs w:val="15"/>
                            <w:lang w:val="en-US" w:eastAsia="zh-CN"/>
                          </w:rPr>
                          <w:t>县住房和城乡建设局、县交通局、县</w:t>
                        </w:r>
                        <w:r>
                          <w:rPr>
                            <w:rFonts w:hint="eastAsia" w:ascii="仿宋_GB2312" w:hAnsi="仿宋_GB2312" w:eastAsia="仿宋_GB2312" w:cs="仿宋_GB2312"/>
                            <w:b w:val="0"/>
                            <w:bCs w:val="0"/>
                            <w:spacing w:val="-1"/>
                            <w:sz w:val="15"/>
                            <w:szCs w:val="15"/>
                          </w:rPr>
                          <w:t>水利局、</w:t>
                        </w:r>
                        <w:r>
                          <w:rPr>
                            <w:rFonts w:hint="eastAsia" w:ascii="仿宋_GB2312" w:hAnsi="仿宋_GB2312" w:eastAsia="仿宋_GB2312" w:cs="仿宋_GB2312"/>
                            <w:b w:val="0"/>
                            <w:bCs w:val="0"/>
                            <w:spacing w:val="-1"/>
                            <w:sz w:val="15"/>
                            <w:szCs w:val="15"/>
                            <w:lang w:val="en-US" w:eastAsia="zh-CN"/>
                          </w:rPr>
                          <w:t>县</w:t>
                        </w:r>
                        <w:r>
                          <w:rPr>
                            <w:rFonts w:hint="eastAsia" w:ascii="仿宋_GB2312" w:hAnsi="仿宋_GB2312" w:eastAsia="仿宋_GB2312" w:cs="仿宋_GB2312"/>
                            <w:b w:val="0"/>
                            <w:bCs w:val="0"/>
                            <w:spacing w:val="-1"/>
                            <w:sz w:val="15"/>
                            <w:szCs w:val="15"/>
                          </w:rPr>
                          <w:t>自然资源和规划局</w:t>
                        </w:r>
                        <w:r>
                          <w:rPr>
                            <w:rFonts w:hint="eastAsia" w:ascii="仿宋_GB2312" w:hAnsi="仿宋_GB2312" w:eastAsia="仿宋_GB2312" w:cs="仿宋_GB2312"/>
                            <w:b w:val="0"/>
                            <w:bCs w:val="0"/>
                            <w:spacing w:val="-1"/>
                            <w:sz w:val="15"/>
                            <w:szCs w:val="15"/>
                            <w:lang w:eastAsia="zh-CN"/>
                          </w:rPr>
                          <w:t>、</w:t>
                        </w:r>
                        <w:r>
                          <w:rPr>
                            <w:rFonts w:hint="eastAsia" w:ascii="仿宋_GB2312" w:hAnsi="仿宋_GB2312" w:eastAsia="仿宋_GB2312" w:cs="仿宋_GB2312"/>
                            <w:b w:val="0"/>
                            <w:bCs w:val="0"/>
                            <w:spacing w:val="-1"/>
                            <w:sz w:val="15"/>
                            <w:szCs w:val="15"/>
                            <w:lang w:val="en-US" w:eastAsia="zh-CN"/>
                          </w:rPr>
                          <w:t>县财政局</w:t>
                        </w:r>
                        <w:r>
                          <w:rPr>
                            <w:rFonts w:hint="eastAsia" w:ascii="仿宋_GB2312" w:hAnsi="仿宋_GB2312" w:eastAsia="仿宋_GB2312" w:cs="仿宋_GB2312"/>
                            <w:b w:val="0"/>
                            <w:bCs w:val="0"/>
                            <w:spacing w:val="-1"/>
                            <w:sz w:val="15"/>
                            <w:szCs w:val="15"/>
                          </w:rPr>
                          <w:t>等有关</w:t>
                        </w:r>
                        <w:r>
                          <w:rPr>
                            <w:rFonts w:hint="eastAsia" w:ascii="仿宋_GB2312" w:hAnsi="仿宋_GB2312" w:eastAsia="仿宋_GB2312" w:cs="仿宋_GB2312"/>
                            <w:b w:val="0"/>
                            <w:bCs w:val="0"/>
                            <w:spacing w:val="-1"/>
                            <w:sz w:val="15"/>
                            <w:szCs w:val="15"/>
                            <w:lang w:val="en-US" w:eastAsia="zh-CN"/>
                          </w:rPr>
                          <w:t>行政</w:t>
                        </w:r>
                        <w:r>
                          <w:rPr>
                            <w:rFonts w:hint="eastAsia" w:ascii="仿宋_GB2312" w:hAnsi="仿宋_GB2312" w:eastAsia="仿宋_GB2312" w:cs="仿宋_GB2312"/>
                            <w:b w:val="0"/>
                            <w:bCs w:val="0"/>
                            <w:spacing w:val="-1"/>
                            <w:sz w:val="15"/>
                            <w:szCs w:val="15"/>
                          </w:rPr>
                          <w:t>监</w:t>
                        </w:r>
                        <w:r>
                          <w:rPr>
                            <w:rFonts w:hint="eastAsia" w:ascii="仿宋_GB2312" w:hAnsi="仿宋_GB2312" w:eastAsia="仿宋_GB2312" w:cs="仿宋_GB2312"/>
                            <w:b w:val="0"/>
                            <w:bCs w:val="0"/>
                            <w:spacing w:val="-1"/>
                            <w:sz w:val="15"/>
                            <w:szCs w:val="15"/>
                            <w:lang w:val="en-US" w:eastAsia="zh-CN"/>
                          </w:rPr>
                          <w:t>督</w:t>
                        </w:r>
                        <w:r>
                          <w:rPr>
                            <w:rFonts w:hint="eastAsia" w:ascii="仿宋_GB2312" w:hAnsi="仿宋_GB2312" w:eastAsia="仿宋_GB2312" w:cs="仿宋_GB2312"/>
                            <w:b w:val="0"/>
                            <w:bCs w:val="0"/>
                            <w:spacing w:val="-2"/>
                            <w:sz w:val="15"/>
                            <w:szCs w:val="15"/>
                          </w:rPr>
                          <w:t>部门对</w:t>
                        </w:r>
                        <w:r>
                          <w:rPr>
                            <w:rFonts w:hint="eastAsia" w:ascii="仿宋_GB2312" w:hAnsi="仿宋_GB2312" w:eastAsia="仿宋_GB2312" w:cs="仿宋_GB2312"/>
                            <w:b w:val="0"/>
                            <w:bCs w:val="0"/>
                            <w:spacing w:val="-2"/>
                            <w:sz w:val="15"/>
                            <w:szCs w:val="15"/>
                            <w:lang w:val="en-US" w:eastAsia="zh-CN"/>
                          </w:rPr>
                          <w:t>项目</w:t>
                        </w:r>
                        <w:r>
                          <w:rPr>
                            <w:rFonts w:hint="eastAsia" w:ascii="仿宋_GB2312" w:hAnsi="仿宋_GB2312" w:eastAsia="仿宋_GB2312" w:cs="仿宋_GB2312"/>
                            <w:b w:val="0"/>
                            <w:bCs w:val="0"/>
                            <w:spacing w:val="-2"/>
                            <w:sz w:val="15"/>
                            <w:szCs w:val="15"/>
                          </w:rPr>
                          <w:t>履约</w:t>
                        </w:r>
                        <w:r>
                          <w:rPr>
                            <w:rFonts w:hint="eastAsia" w:ascii="仿宋_GB2312" w:hAnsi="仿宋_GB2312" w:eastAsia="仿宋_GB2312" w:cs="仿宋_GB2312"/>
                            <w:b w:val="0"/>
                            <w:bCs w:val="0"/>
                            <w:spacing w:val="-2"/>
                            <w:sz w:val="15"/>
                            <w:szCs w:val="15"/>
                            <w:lang w:val="en-US" w:eastAsia="zh-CN"/>
                          </w:rPr>
                          <w:t>实施</w:t>
                        </w:r>
                        <w:r>
                          <w:rPr>
                            <w:rFonts w:hint="eastAsia" w:ascii="仿宋_GB2312" w:hAnsi="仿宋_GB2312" w:eastAsia="仿宋_GB2312" w:cs="仿宋_GB2312"/>
                            <w:b w:val="0"/>
                            <w:bCs w:val="0"/>
                            <w:spacing w:val="-2"/>
                            <w:sz w:val="15"/>
                            <w:szCs w:val="15"/>
                          </w:rPr>
                          <w:t>情况进行</w:t>
                        </w:r>
                        <w:r>
                          <w:rPr>
                            <w:rFonts w:hint="eastAsia" w:ascii="仿宋_GB2312" w:hAnsi="仿宋_GB2312" w:eastAsia="仿宋_GB2312" w:cs="仿宋_GB2312"/>
                            <w:b w:val="0"/>
                            <w:bCs w:val="0"/>
                            <w:spacing w:val="-2"/>
                            <w:sz w:val="15"/>
                            <w:szCs w:val="15"/>
                            <w:lang w:val="en-US" w:eastAsia="zh-CN"/>
                          </w:rPr>
                          <w:t>监督</w:t>
                        </w:r>
                        <w:r>
                          <w:rPr>
                            <w:rFonts w:hint="eastAsia" w:ascii="仿宋_GB2312" w:hAnsi="仿宋_GB2312" w:eastAsia="仿宋_GB2312" w:cs="仿宋_GB2312"/>
                            <w:b w:val="0"/>
                            <w:bCs w:val="0"/>
                            <w:spacing w:val="-2"/>
                            <w:sz w:val="15"/>
                            <w:szCs w:val="15"/>
                          </w:rPr>
                          <w:t>抽查。</w:t>
                        </w:r>
                      </w:p>
                    </w:txbxContent>
                  </v:textbox>
                </v:rect>
                <v:rect id="_x0000_s1026" o:spid="_x0000_s1026" o:spt="1" style="position:absolute;left:7172;top:217692;height:562;width:1530;" fillcolor="#FFFFFF" filled="t" stroked="t" coordsize="21600,21600" o:gfxdata="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UAO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417F818B">
                        <w:pPr>
                          <w:keepNext w:val="0"/>
                          <w:keepLines w:val="0"/>
                          <w:pageBreakBefore w:val="0"/>
                          <w:widowControl w:val="0"/>
                          <w:kinsoku/>
                          <w:wordWrap/>
                          <w:overflowPunct/>
                          <w:topLinePunct w:val="0"/>
                          <w:bidi w:val="0"/>
                          <w:adjustRightInd/>
                          <w:snapToGrid/>
                          <w:spacing w:line="200" w:lineRule="exact"/>
                          <w:jc w:val="center"/>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8"/>
                            <w:szCs w:val="18"/>
                            <w:lang w:val="en-US" w:eastAsia="zh-CN"/>
                          </w:rPr>
                          <w:t>信用监管、履约抽查</w:t>
                        </w:r>
                      </w:p>
                    </w:txbxContent>
                  </v:textbox>
                </v:rect>
                <v:rect id="_x0000_s1026" o:spid="_x0000_s1026" o:spt="1" style="position:absolute;left:9274;top:217606;height:728;width:1797;" fillcolor="#FFFFFF" filled="t" stroked="t" coordsize="21600,21600" o:gfxdata="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h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05FBFBA">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县社会信用中心、县发改局、有关行政监督部门</w:t>
                        </w:r>
                      </w:p>
                    </w:txbxContent>
                  </v:textbox>
                </v:rect>
                <v:rect id="_x0000_s1026" o:spid="_x0000_s1026" o:spt="1" style="position:absolute;left:11574;top:218551;height:522;width:4752;" fillcolor="#FFFFFF" filled="t" stroked="t" coordsize="21600,21600" o:gfxdata="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EEy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020B9C5">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spacing w:val="-2"/>
                            <w:sz w:val="15"/>
                            <w:szCs w:val="15"/>
                            <w:lang w:val="en-US" w:eastAsia="zh-CN"/>
                          </w:rPr>
                          <w:t>项目完成后，建设单位依法组织有关部门联合验收并于3个工作日内在“中国山东政府采购网”发布验收结果公告，</w:t>
                        </w:r>
                      </w:p>
                      <w:p w14:paraId="6E30201D"/>
                    </w:txbxContent>
                  </v:textbox>
                </v:rect>
                <v:rect id="_x0000_s1026" o:spid="_x0000_s1026" o:spt="1" style="position:absolute;left:7158;top:218575;height:390;width:1544;" fillcolor="#FFFFFF" filled="t" stroked="t" coordsize="21600,21600" o:gfxdata="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WyH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9506A3D">
                        <w:pPr>
                          <w:spacing w:line="200" w:lineRule="exact"/>
                          <w:jc w:val="center"/>
                          <w:rPr>
                            <w:rFonts w:hint="eastAsia" w:ascii="仿宋_GB2312" w:hAnsi="仿宋_GB2312" w:eastAsia="仿宋_GB2312" w:cs="仿宋_GB2312"/>
                            <w:b w:val="0"/>
                            <w:bCs/>
                            <w:color w:val="000000"/>
                            <w:sz w:val="18"/>
                            <w:szCs w:val="18"/>
                          </w:rPr>
                        </w:pPr>
                        <w:r>
                          <w:rPr>
                            <w:rFonts w:hint="eastAsia" w:ascii="仿宋_GB2312" w:hAnsi="仿宋_GB2312" w:eastAsia="仿宋_GB2312" w:cs="仿宋_GB2312"/>
                            <w:b w:val="0"/>
                            <w:bCs/>
                            <w:color w:val="000000"/>
                            <w:sz w:val="18"/>
                            <w:szCs w:val="18"/>
                            <w:lang w:val="en-US" w:eastAsia="zh-CN"/>
                          </w:rPr>
                          <w:t>项目</w:t>
                        </w:r>
                        <w:r>
                          <w:rPr>
                            <w:rFonts w:hint="eastAsia" w:ascii="仿宋_GB2312" w:hAnsi="仿宋_GB2312" w:eastAsia="仿宋_GB2312" w:cs="仿宋_GB2312"/>
                            <w:b w:val="0"/>
                            <w:bCs/>
                            <w:color w:val="000000"/>
                            <w:sz w:val="18"/>
                            <w:szCs w:val="18"/>
                          </w:rPr>
                          <w:t>验收</w:t>
                        </w:r>
                      </w:p>
                      <w:p w14:paraId="45AD3E00"/>
                    </w:txbxContent>
                  </v:textbox>
                </v:rect>
                <v:rect id="_x0000_s1026" o:spid="_x0000_s1026" o:spt="1" style="position:absolute;left:11580;top:219147;height:657;width:4728;" fillcolor="#FFFFFF" filled="t" stroked="t" coordsize="21600,21600" o:gfxdata="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P1m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8A44AFB">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lang w:val="en-US" w:eastAsia="zh-CN"/>
                          </w:rPr>
                        </w:pPr>
                        <w:r>
                          <w:rPr>
                            <w:rFonts w:hint="eastAsia" w:ascii="仿宋_GB2312" w:hAnsi="仿宋_GB2312" w:eastAsia="仿宋_GB2312" w:cs="仿宋_GB2312"/>
                            <w:b w:val="0"/>
                            <w:bCs w:val="0"/>
                            <w:sz w:val="15"/>
                            <w:szCs w:val="15"/>
                            <w:lang w:val="en-US" w:eastAsia="zh-CN"/>
                          </w:rPr>
                          <w:t>建设单位严格按照合同约定和工程价款结算程序支付工程款。完工价款结算一般应当在项目完工验收后2个月内完成，最长不得超过3个月。</w:t>
                        </w:r>
                      </w:p>
                    </w:txbxContent>
                  </v:textbox>
                </v:rect>
                <v:rect id="_x0000_s1026" o:spid="_x0000_s1026" o:spt="1" style="position:absolute;left:9276;top:219208;height:527;width:1790;" fillcolor="#FFFFFF" filled="t" stroked="t" coordsize="21600,21600" o:gfxdata="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qmNF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A5A5B0">
                        <w:pPr>
                          <w:ind w:firstLine="360" w:firstLineChars="2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建设单位</w:t>
                        </w:r>
                      </w:p>
                    </w:txbxContent>
                  </v:textbox>
                </v:rect>
                <v:rect id="_x0000_s1026" o:spid="_x0000_s1026" o:spt="1" style="position:absolute;left:7172;top:219287;height:377;width:1531;" fillcolor="#FFFFFF" filled="t" stroked="t" coordsize="21600,21600" o:gfxdata="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iRZU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6D24D48C">
                        <w:pPr>
                          <w:ind w:firstLine="180" w:firstLineChars="100"/>
                          <w:rPr>
                            <w:rFonts w:hint="eastAsia" w:ascii="仿宋_GB2312" w:hAnsi="仿宋_GB2312" w:eastAsia="仿宋_GB2312" w:cs="仿宋_GB2312"/>
                            <w:b w:val="0"/>
                            <w:bCs w:val="0"/>
                            <w:color w:val="000000"/>
                            <w:sz w:val="18"/>
                            <w:szCs w:val="18"/>
                            <w:lang w:val="en-US" w:eastAsia="zh-CN"/>
                          </w:rPr>
                        </w:pPr>
                        <w:r>
                          <w:rPr>
                            <w:rFonts w:hint="eastAsia" w:ascii="仿宋_GB2312" w:hAnsi="仿宋_GB2312" w:eastAsia="仿宋_GB2312" w:cs="仿宋_GB2312"/>
                            <w:b w:val="0"/>
                            <w:bCs w:val="0"/>
                            <w:color w:val="000000"/>
                            <w:sz w:val="18"/>
                            <w:szCs w:val="18"/>
                            <w:lang w:val="en-US" w:eastAsia="zh-CN"/>
                          </w:rPr>
                          <w:t>工程结算</w:t>
                        </w:r>
                      </w:p>
                    </w:txbxContent>
                  </v:textbox>
                </v:rect>
              </v:group>
            </w:pict>
          </mc:Fallback>
        </mc:AlternateContent>
      </w:r>
      <w:r>
        <w:rPr>
          <w:rFonts w:hint="eastAsia" w:ascii="黑体" w:hAnsi="黑体" w:eastAsia="黑体" w:cs="黑体fal"/>
          <w:bCs/>
          <w:color w:val="000000"/>
          <w:sz w:val="28"/>
          <w:szCs w:val="28"/>
        </w:rPr>
        <w:t xml:space="preserve">工作流程       </w:t>
      </w:r>
      <w:r>
        <w:rPr>
          <w:rFonts w:hint="eastAsia" w:ascii="黑体" w:hAnsi="黑体" w:eastAsia="黑体" w:cs="黑体fal"/>
          <w:bCs/>
          <w:color w:val="000000"/>
          <w:sz w:val="28"/>
          <w:szCs w:val="28"/>
          <w:lang w:val="en-US" w:eastAsia="zh-CN"/>
        </w:rPr>
        <w:t xml:space="preserve"> </w:t>
      </w:r>
      <w:r>
        <w:rPr>
          <w:rFonts w:hint="eastAsia" w:ascii="黑体" w:hAnsi="黑体" w:eastAsia="黑体" w:cs="黑体fal"/>
          <w:bCs/>
          <w:color w:val="000000"/>
          <w:sz w:val="28"/>
          <w:szCs w:val="28"/>
        </w:rPr>
        <w:t xml:space="preserve">责任单位                </w:t>
      </w:r>
      <w:r>
        <w:rPr>
          <w:rFonts w:hint="eastAsia" w:ascii="黑体" w:hAnsi="黑体" w:eastAsia="黑体" w:cs="黑体fal"/>
          <w:bCs/>
          <w:color w:val="000000"/>
          <w:sz w:val="28"/>
          <w:szCs w:val="28"/>
          <w:lang w:val="en-US" w:eastAsia="zh-CN"/>
        </w:rPr>
        <w:t xml:space="preserve">    </w:t>
      </w:r>
      <w:r>
        <w:rPr>
          <w:rFonts w:hint="eastAsia" w:ascii="黑体" w:hAnsi="黑体" w:eastAsia="黑体" w:cs="黑体fal"/>
          <w:bCs/>
          <w:color w:val="000000"/>
          <w:sz w:val="28"/>
          <w:szCs w:val="28"/>
        </w:rPr>
        <w:t>工作内容</w:t>
      </w:r>
    </w:p>
    <w:p w14:paraId="08735C03">
      <w:pPr>
        <w:ind w:firstLine="694" w:firstLineChars="248"/>
        <w:jc w:val="left"/>
        <w:rPr>
          <w:rFonts w:hint="eastAsia" w:ascii="黑体" w:hAnsi="黑体" w:eastAsia="黑体" w:cs="黑体fal"/>
          <w:b/>
          <w:color w:val="000000"/>
          <w:sz w:val="28"/>
          <w:szCs w:val="28"/>
        </w:rPr>
      </w:pPr>
      <w:r>
        <w:rPr>
          <w:rFonts w:hint="eastAsia" w:ascii="黑体" w:hAnsi="黑体" w:eastAsia="黑体" w:cs="黑体fal"/>
          <w:bCs/>
          <w:color w:val="000000"/>
          <w:sz w:val="28"/>
          <w:szCs w:val="28"/>
        </w:rPr>
        <w:t xml:space="preserve">  </w:t>
      </w:r>
      <w:r>
        <w:rPr>
          <w:rFonts w:hint="eastAsia" w:ascii="黑体" w:hAnsi="黑体" w:eastAsia="黑体" w:cs="黑体fal"/>
          <w:b/>
          <w:color w:val="000000"/>
          <w:sz w:val="28"/>
          <w:szCs w:val="28"/>
        </w:rPr>
        <w:t xml:space="preserve"> </w:t>
      </w:r>
    </w:p>
    <w:p w14:paraId="0D1D5F91">
      <w:pPr>
        <w:tabs>
          <w:tab w:val="center" w:pos="4535"/>
        </w:tabs>
        <w:ind w:firstLine="697" w:firstLineChars="248"/>
        <w:jc w:val="left"/>
        <w:rPr>
          <w:rFonts w:hint="default" w:ascii="黑体" w:hAnsi="黑体" w:eastAsia="黑体" w:cs="黑体fal"/>
          <w:b/>
          <w:color w:val="000000"/>
          <w:sz w:val="28"/>
          <w:szCs w:val="28"/>
          <w:lang w:val="en-US" w:eastAsia="zh-CN"/>
        </w:rPr>
      </w:pPr>
      <w:r>
        <w:rPr>
          <w:rFonts w:hint="eastAsia" w:ascii="黑体" w:hAnsi="黑体" w:eastAsia="黑体" w:cs="黑体fal"/>
          <w:b/>
          <w:color w:val="000000"/>
          <w:sz w:val="28"/>
          <w:szCs w:val="28"/>
        </w:rPr>
        <w:t xml:space="preserve">         </w:t>
      </w:r>
      <w:r>
        <w:rPr>
          <w:rFonts w:hint="eastAsia" w:ascii="黑体" w:hAnsi="黑体" w:eastAsia="黑体" w:cs="黑体fal"/>
          <w:b/>
          <w:color w:val="000000"/>
          <w:sz w:val="28"/>
          <w:szCs w:val="28"/>
          <w:lang w:val="en-US" w:eastAsia="zh-CN"/>
        </w:rPr>
        <w:t xml:space="preserve">   </w:t>
      </w:r>
      <w:r>
        <w:rPr>
          <w:rFonts w:hint="eastAsia" w:ascii="黑体" w:hAnsi="黑体" w:eastAsia="黑体" w:cs="黑体fal"/>
          <w:b/>
          <w:color w:val="000000"/>
          <w:sz w:val="28"/>
          <w:szCs w:val="28"/>
          <w:lang w:val="en-US" w:eastAsia="zh-CN"/>
        </w:rPr>
        <w:tab/>
      </w:r>
    </w:p>
    <w:p w14:paraId="66CCF744">
      <w:pPr>
        <w:ind w:firstLine="797" w:firstLineChars="248"/>
        <w:jc w:val="left"/>
        <w:rPr>
          <w:rFonts w:hint="default" w:ascii="黑体" w:hAnsi="黑体" w:eastAsia="黑体" w:cs="黑体fal"/>
          <w:b/>
          <w:color w:val="000000"/>
          <w:sz w:val="28"/>
          <w:szCs w:val="28"/>
          <w:lang w:val="en-US" w:eastAsia="zh-CN"/>
        </w:rPr>
      </w:pPr>
      <w:r>
        <w:rPr>
          <w:rFonts w:ascii="仿宋" w:hAnsi="仿宋" w:eastAsia="仿宋"/>
          <w:b/>
          <w:color w:val="000000"/>
          <w:sz w:val="32"/>
          <w:szCs w:val="32"/>
        </w:rPr>
        <mc:AlternateContent>
          <mc:Choice Requires="wps">
            <w:drawing>
              <wp:anchor distT="0" distB="0" distL="114300" distR="114300" simplePos="0" relativeHeight="251660288" behindDoc="0" locked="0" layoutInCell="1" allowOverlap="1">
                <wp:simplePos x="0" y="0"/>
                <wp:positionH relativeFrom="column">
                  <wp:posOffset>822960</wp:posOffset>
                </wp:positionH>
                <wp:positionV relativeFrom="paragraph">
                  <wp:posOffset>381000</wp:posOffset>
                </wp:positionV>
                <wp:extent cx="356235" cy="635"/>
                <wp:effectExtent l="0" t="37465" r="5715" b="38100"/>
                <wp:wrapNone/>
                <wp:docPr id="17" name="直接箭头连接符 17"/>
                <wp:cNvGraphicFramePr/>
                <a:graphic xmlns:a="http://schemas.openxmlformats.org/drawingml/2006/main">
                  <a:graphicData uri="http://schemas.microsoft.com/office/word/2010/wordprocessingShape">
                    <wps:wsp>
                      <wps:cNvCnPr/>
                      <wps:spPr>
                        <a:xfrm>
                          <a:off x="0" y="0"/>
                          <a:ext cx="356235" cy="635"/>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64.8pt;margin-top:30pt;height:0.05pt;width:28.05pt;z-index:251660288;mso-width-relative:page;mso-height-relative:page;" filled="f" stroked="t" coordsize="21600,21600" o:gfxdata="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qeqnW1wAAAAkBAAAPAAAAAAAAAAEAIAAAACIA&#10;AABkcnMvZG93bnJldi54bWxQSwECFAAUAAAACACHTuJAvmWv5QoCAAABBAAADgAAAAAAAAABACAA&#10;AAAmAQAAZHJzL2Uyb0RvYy54bWxQSwUGAAAAAAYABgBZAQAAogUAAAAA&#10;">
                <v:fill on="f" focussize="0,0"/>
                <v:stroke color="#000000" joinstyle="round" endarrow="block"/>
                <v:imagedata o:title=""/>
                <o:lock v:ext="edit" aspectratio="f"/>
              </v:shape>
            </w:pict>
          </mc:Fallback>
        </mc:AlternateContent>
      </w:r>
      <w:r>
        <w:rPr>
          <w:rFonts w:hint="eastAsia" w:ascii="黑体" w:hAnsi="黑体" w:eastAsia="黑体" w:cs="黑体fal"/>
          <w:b/>
          <w:color w:val="000000"/>
          <w:sz w:val="28"/>
          <w:szCs w:val="28"/>
          <w:lang w:val="en-US" w:eastAsia="zh-CN"/>
        </w:rPr>
        <w:t xml:space="preserve">                             </w:t>
      </w:r>
    </w:p>
    <w:p w14:paraId="57E152C8">
      <w:pPr>
        <w:spacing w:line="620" w:lineRule="exact"/>
        <w:ind w:firstLine="161" w:firstLineChars="50"/>
        <w:jc w:val="left"/>
        <w:rPr>
          <w:rFonts w:ascii="仿宋" w:hAnsi="仿宋" w:eastAsia="仿宋"/>
          <w:b/>
          <w:color w:val="000000"/>
          <w:sz w:val="32"/>
          <w:szCs w:val="32"/>
        </w:rPr>
      </w:pPr>
      <w:r>
        <w:rPr>
          <w:rFonts w:ascii="仿宋" w:hAnsi="仿宋" w:eastAsia="仿宋"/>
          <w:b/>
          <w:color w:val="000000"/>
          <w:sz w:val="32"/>
          <w:szCs w:val="32"/>
        </w:rPr>
        <mc:AlternateContent>
          <mc:Choice Requires="wps">
            <w:drawing>
              <wp:anchor distT="0" distB="0" distL="114300" distR="114300" simplePos="0" relativeHeight="251661312" behindDoc="0" locked="0" layoutInCell="1" allowOverlap="1">
                <wp:simplePos x="0" y="0"/>
                <wp:positionH relativeFrom="column">
                  <wp:posOffset>215900</wp:posOffset>
                </wp:positionH>
                <wp:positionV relativeFrom="paragraph">
                  <wp:posOffset>313690</wp:posOffset>
                </wp:positionV>
                <wp:extent cx="197485" cy="635"/>
                <wp:effectExtent l="38100" t="102235" r="37465" b="5080"/>
                <wp:wrapNone/>
                <wp:docPr id="14" name="肘形连接符 14"/>
                <wp:cNvGraphicFramePr/>
                <a:graphic xmlns:a="http://schemas.openxmlformats.org/drawingml/2006/main">
                  <a:graphicData uri="http://schemas.microsoft.com/office/word/2010/wordprocessingShape">
                    <wps:wsp>
                      <wps:cNvCnPr/>
                      <wps:spPr>
                        <a:xfrm rot="5400000">
                          <a:off x="0" y="0"/>
                          <a:ext cx="197485" cy="635"/>
                        </a:xfrm>
                        <a:prstGeom prst="bentConnector3">
                          <a:avLst>
                            <a:gd name="adj1" fmla="val -49517"/>
                          </a:avLst>
                        </a:prstGeom>
                        <a:ln w="9525"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17pt;margin-top:24.7pt;height:0.05pt;width:15.55pt;rotation:5898240f;z-index:251661312;mso-width-relative:page;mso-height-relative:page;" filled="f" stroked="t" coordsize="21600,21600" o:gfxdata="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MxsMz1gAAAAcBAAAPAAAAAAAAAAEAIAAAACIAAABkcnMvZG93bnJldi54bWxQSwECFAAUAAAA&#10;CACHTuJAM29qSCkCAAAvBAAADgAAAAAAAAABACAAAAAlAQAAZHJzL2Uyb0RvYy54bWxQSwUGAAAA&#10;AAYABgBZAQAAwAUAAAAA&#10;" adj="-10696">
                <v:fill on="f" focussize="0,0"/>
                <v:stroke color="#000000" joinstyle="miter" endarrow="block"/>
                <v:imagedata o:title=""/>
                <o:lock v:ext="edit" aspectratio="f"/>
              </v:shape>
            </w:pict>
          </mc:Fallback>
        </mc:AlternateContent>
      </w:r>
    </w:p>
    <w:p w14:paraId="485CAD50">
      <w:pPr>
        <w:spacing w:line="620" w:lineRule="exact"/>
        <w:ind w:firstLine="161" w:firstLineChars="50"/>
        <w:jc w:val="left"/>
        <w:rPr>
          <w:rFonts w:ascii="仿宋" w:hAnsi="仿宋" w:eastAsia="仿宋"/>
          <w:b/>
          <w:color w:val="000000"/>
          <w:sz w:val="32"/>
          <w:szCs w:val="32"/>
        </w:rPr>
      </w:pPr>
    </w:p>
    <w:p w14:paraId="27CCBCEC">
      <w:pPr>
        <w:spacing w:line="620" w:lineRule="exact"/>
        <w:ind w:firstLine="161" w:firstLineChars="50"/>
        <w:jc w:val="left"/>
        <w:rPr>
          <w:rFonts w:hint="eastAsia" w:ascii="仿宋" w:hAnsi="仿宋" w:eastAsia="仿宋"/>
          <w:b/>
          <w:color w:val="000000"/>
          <w:sz w:val="32"/>
          <w:szCs w:val="32"/>
        </w:rPr>
      </w:pPr>
    </w:p>
    <w:p w14:paraId="0FBB5004">
      <w:pPr>
        <w:spacing w:line="400" w:lineRule="exact"/>
        <w:ind w:firstLine="161" w:firstLineChars="50"/>
        <w:jc w:val="left"/>
        <w:rPr>
          <w:rFonts w:hint="eastAsia" w:ascii="仿宋" w:hAnsi="仿宋" w:eastAsia="仿宋"/>
          <w:b/>
          <w:color w:val="000000"/>
          <w:sz w:val="32"/>
          <w:szCs w:val="32"/>
        </w:rPr>
      </w:pPr>
    </w:p>
    <w:p w14:paraId="2A24B645">
      <w:pPr>
        <w:spacing w:line="400" w:lineRule="exact"/>
        <w:jc w:val="left"/>
        <w:rPr>
          <w:rFonts w:ascii="仿宋" w:hAnsi="仿宋" w:eastAsia="仿宋"/>
          <w:b/>
          <w:color w:val="000000"/>
          <w:sz w:val="32"/>
          <w:szCs w:val="32"/>
        </w:rPr>
      </w:pPr>
      <w:r>
        <mc:AlternateContent>
          <mc:Choice Requires="wps">
            <w:drawing>
              <wp:anchor distT="0" distB="0" distL="114300" distR="114300" simplePos="0" relativeHeight="251665408" behindDoc="0" locked="0" layoutInCell="1" allowOverlap="1">
                <wp:simplePos x="0" y="0"/>
                <wp:positionH relativeFrom="column">
                  <wp:posOffset>2692400</wp:posOffset>
                </wp:positionH>
                <wp:positionV relativeFrom="paragraph">
                  <wp:posOffset>143510</wp:posOffset>
                </wp:positionV>
                <wp:extent cx="3059430" cy="479425"/>
                <wp:effectExtent l="4445" t="4445" r="22225" b="11430"/>
                <wp:wrapNone/>
                <wp:docPr id="81" name="矩形 81"/>
                <wp:cNvGraphicFramePr/>
                <a:graphic xmlns:a="http://schemas.openxmlformats.org/drawingml/2006/main">
                  <a:graphicData uri="http://schemas.microsoft.com/office/word/2010/wordprocessingShape">
                    <wps:wsp>
                      <wps:cNvSpPr/>
                      <wps:spPr>
                        <a:xfrm>
                          <a:off x="0" y="0"/>
                          <a:ext cx="3059430" cy="4794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EDC796">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auto"/>
                                <w:sz w:val="15"/>
                                <w:szCs w:val="15"/>
                              </w:rPr>
                            </w:pP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自主择优</w:t>
                            </w:r>
                            <w:r>
                              <w:rPr>
                                <w:rFonts w:hint="eastAsia" w:ascii="仿宋_GB2312" w:hAnsi="仿宋_GB2312" w:eastAsia="仿宋_GB2312" w:cs="仿宋_GB2312"/>
                                <w:b w:val="0"/>
                                <w:bCs w:val="0"/>
                                <w:spacing w:val="4"/>
                                <w:sz w:val="15"/>
                                <w:szCs w:val="15"/>
                              </w:rPr>
                              <w:t>选</w:t>
                            </w:r>
                            <w:r>
                              <w:rPr>
                                <w:rFonts w:hint="eastAsia" w:ascii="仿宋_GB2312" w:hAnsi="仿宋_GB2312" w:eastAsia="仿宋_GB2312" w:cs="仿宋_GB2312"/>
                                <w:b w:val="0"/>
                                <w:bCs w:val="0"/>
                                <w:spacing w:val="4"/>
                                <w:sz w:val="15"/>
                                <w:szCs w:val="15"/>
                                <w:lang w:val="en-US" w:eastAsia="zh-CN"/>
                              </w:rPr>
                              <w:t>择</w:t>
                            </w:r>
                            <w:r>
                              <w:rPr>
                                <w:rFonts w:hint="eastAsia" w:ascii="仿宋_GB2312" w:hAnsi="仿宋_GB2312" w:eastAsia="仿宋_GB2312" w:cs="仿宋_GB2312"/>
                                <w:b w:val="0"/>
                                <w:bCs w:val="0"/>
                                <w:spacing w:val="4"/>
                                <w:sz w:val="15"/>
                                <w:szCs w:val="15"/>
                              </w:rPr>
                              <w:t>招标代理机构，</w:t>
                            </w: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应当根据招标项目的特点和需要编制招标文件</w:t>
                            </w:r>
                            <w:r>
                              <w:rPr>
                                <w:rFonts w:hint="eastAsia" w:ascii="仿宋_GB2312" w:hAnsi="仿宋_GB2312" w:eastAsia="仿宋_GB2312" w:cs="仿宋_GB2312"/>
                                <w:b w:val="0"/>
                                <w:bCs w:val="0"/>
                                <w:color w:val="auto"/>
                                <w:spacing w:val="4"/>
                                <w:sz w:val="15"/>
                                <w:szCs w:val="15"/>
                                <w:lang w:val="en-US" w:eastAsia="zh-CN"/>
                              </w:rPr>
                              <w:t>。对投资2000万元以上的项目</w:t>
                            </w:r>
                            <w:r>
                              <w:rPr>
                                <w:rFonts w:hint="eastAsia" w:ascii="仿宋_GB2312" w:hAnsi="仿宋_GB2312" w:eastAsia="仿宋_GB2312" w:cs="仿宋_GB2312"/>
                                <w:b w:val="0"/>
                                <w:bCs w:val="0"/>
                                <w:color w:val="auto"/>
                                <w:spacing w:val="4"/>
                                <w:sz w:val="15"/>
                                <w:szCs w:val="15"/>
                              </w:rPr>
                              <w:t>招标</w:t>
                            </w:r>
                            <w:r>
                              <w:rPr>
                                <w:rFonts w:hint="eastAsia" w:ascii="仿宋_GB2312" w:hAnsi="仿宋_GB2312" w:eastAsia="仿宋_GB2312" w:cs="仿宋_GB2312"/>
                                <w:b w:val="0"/>
                                <w:bCs w:val="0"/>
                                <w:color w:val="auto"/>
                                <w:spacing w:val="4"/>
                                <w:sz w:val="15"/>
                                <w:szCs w:val="15"/>
                                <w:lang w:val="en-US" w:eastAsia="zh-CN"/>
                              </w:rPr>
                              <w:t>公告</w:t>
                            </w:r>
                            <w:r>
                              <w:rPr>
                                <w:rFonts w:hint="eastAsia" w:ascii="仿宋_GB2312" w:hAnsi="仿宋_GB2312" w:eastAsia="仿宋_GB2312" w:cs="仿宋_GB2312"/>
                                <w:b w:val="0"/>
                                <w:bCs w:val="0"/>
                                <w:color w:val="auto"/>
                                <w:spacing w:val="4"/>
                                <w:sz w:val="15"/>
                                <w:szCs w:val="15"/>
                              </w:rPr>
                              <w:t>和招标</w:t>
                            </w:r>
                            <w:r>
                              <w:rPr>
                                <w:rFonts w:hint="eastAsia" w:ascii="仿宋_GB2312" w:hAnsi="仿宋_GB2312" w:eastAsia="仿宋_GB2312" w:cs="仿宋_GB2312"/>
                                <w:b w:val="0"/>
                                <w:bCs w:val="0"/>
                                <w:color w:val="auto"/>
                                <w:spacing w:val="4"/>
                                <w:sz w:val="15"/>
                                <w:szCs w:val="15"/>
                                <w:lang w:val="en-US" w:eastAsia="zh-CN"/>
                              </w:rPr>
                              <w:t>文件，由建设单位进行合法性审查后，</w:t>
                            </w:r>
                            <w:r>
                              <w:rPr>
                                <w:rFonts w:hint="eastAsia" w:ascii="仿宋_GB2312" w:hAnsi="仿宋_GB2312" w:eastAsia="仿宋_GB2312" w:cs="仿宋_GB2312"/>
                                <w:b w:val="0"/>
                                <w:bCs w:val="0"/>
                                <w:color w:val="auto"/>
                                <w:spacing w:val="-1"/>
                                <w:sz w:val="15"/>
                                <w:szCs w:val="15"/>
                              </w:rPr>
                              <w:t>依法</w:t>
                            </w:r>
                            <w:r>
                              <w:rPr>
                                <w:rFonts w:hint="eastAsia" w:ascii="仿宋_GB2312" w:hAnsi="仿宋_GB2312" w:eastAsia="仿宋_GB2312" w:cs="仿宋_GB2312"/>
                                <w:b w:val="0"/>
                                <w:bCs w:val="0"/>
                                <w:color w:val="auto"/>
                                <w:spacing w:val="-1"/>
                                <w:sz w:val="15"/>
                                <w:szCs w:val="15"/>
                                <w:lang w:val="en-US" w:eastAsia="zh-CN"/>
                              </w:rPr>
                              <w:t>在相关媒体</w:t>
                            </w:r>
                            <w:r>
                              <w:rPr>
                                <w:rFonts w:hint="eastAsia" w:ascii="仿宋_GB2312" w:hAnsi="仿宋_GB2312" w:eastAsia="仿宋_GB2312" w:cs="仿宋_GB2312"/>
                                <w:b w:val="0"/>
                                <w:bCs w:val="0"/>
                                <w:color w:val="auto"/>
                                <w:spacing w:val="-1"/>
                                <w:sz w:val="15"/>
                                <w:szCs w:val="15"/>
                              </w:rPr>
                              <w:t>发布。</w:t>
                            </w:r>
                          </w:p>
                          <w:p w14:paraId="6418DD01">
                            <w:pPr>
                              <w:rPr>
                                <w:b/>
                                <w:bCs w:val="0"/>
                                <w:sz w:val="15"/>
                                <w:szCs w:val="15"/>
                              </w:rPr>
                            </w:pPr>
                          </w:p>
                        </w:txbxContent>
                      </wps:txbx>
                      <wps:bodyPr upright="1"/>
                    </wps:wsp>
                  </a:graphicData>
                </a:graphic>
              </wp:anchor>
            </w:drawing>
          </mc:Choice>
          <mc:Fallback>
            <w:pict>
              <v:rect id="_x0000_s1026" o:spid="_x0000_s1026" o:spt="1" style="position:absolute;left:0pt;margin-left:212pt;margin-top:11.3pt;height:37.75pt;width:240.9pt;z-index:251665408;mso-width-relative:page;mso-height-relative:page;" fillcolor="#FFFFFF" filled="t" stroked="t" coordsize="21600,21600" o:gfxdata="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BI//tgAAAAJAQAADwAAAAAAAAABACAAAAAiAAAAZHJzL2Rv&#10;d25yZXYueG1sUEsBAhQAFAAAAAgAh07iQDpOKfIBAgAAKwQAAA4AAAAAAAAAAQAgAAAAJwEAAGRy&#10;cy9lMm9Eb2MueG1sUEsFBgAAAAAGAAYAWQEAAJoFAAAAAA==&#10;">
                <v:fill on="t" focussize="0,0"/>
                <v:stroke color="#000000" joinstyle="miter"/>
                <v:imagedata o:title=""/>
                <o:lock v:ext="edit" aspectratio="f"/>
                <v:textbox>
                  <w:txbxContent>
                    <w:p w14:paraId="4CEDC796">
                      <w:pPr>
                        <w:keepNext w:val="0"/>
                        <w:keepLines w:val="0"/>
                        <w:pageBreakBefore w:val="0"/>
                        <w:widowControl w:val="0"/>
                        <w:kinsoku/>
                        <w:wordWrap/>
                        <w:overflowPunct/>
                        <w:topLinePunct w:val="0"/>
                        <w:bidi w:val="0"/>
                        <w:adjustRightInd/>
                        <w:snapToGrid/>
                        <w:spacing w:line="160" w:lineRule="exact"/>
                        <w:textAlignment w:val="auto"/>
                        <w:rPr>
                          <w:rFonts w:hint="eastAsia" w:ascii="仿宋_GB2312" w:hAnsi="仿宋_GB2312" w:eastAsia="仿宋_GB2312" w:cs="仿宋_GB2312"/>
                          <w:b w:val="0"/>
                          <w:bCs w:val="0"/>
                          <w:color w:val="auto"/>
                          <w:sz w:val="15"/>
                          <w:szCs w:val="15"/>
                        </w:rPr>
                      </w:pP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自主择优</w:t>
                      </w:r>
                      <w:r>
                        <w:rPr>
                          <w:rFonts w:hint="eastAsia" w:ascii="仿宋_GB2312" w:hAnsi="仿宋_GB2312" w:eastAsia="仿宋_GB2312" w:cs="仿宋_GB2312"/>
                          <w:b w:val="0"/>
                          <w:bCs w:val="0"/>
                          <w:spacing w:val="4"/>
                          <w:sz w:val="15"/>
                          <w:szCs w:val="15"/>
                        </w:rPr>
                        <w:t>选</w:t>
                      </w:r>
                      <w:r>
                        <w:rPr>
                          <w:rFonts w:hint="eastAsia" w:ascii="仿宋_GB2312" w:hAnsi="仿宋_GB2312" w:eastAsia="仿宋_GB2312" w:cs="仿宋_GB2312"/>
                          <w:b w:val="0"/>
                          <w:bCs w:val="0"/>
                          <w:spacing w:val="4"/>
                          <w:sz w:val="15"/>
                          <w:szCs w:val="15"/>
                          <w:lang w:val="en-US" w:eastAsia="zh-CN"/>
                        </w:rPr>
                        <w:t>择</w:t>
                      </w:r>
                      <w:r>
                        <w:rPr>
                          <w:rFonts w:hint="eastAsia" w:ascii="仿宋_GB2312" w:hAnsi="仿宋_GB2312" w:eastAsia="仿宋_GB2312" w:cs="仿宋_GB2312"/>
                          <w:b w:val="0"/>
                          <w:bCs w:val="0"/>
                          <w:spacing w:val="4"/>
                          <w:sz w:val="15"/>
                          <w:szCs w:val="15"/>
                        </w:rPr>
                        <w:t>招标代理机构，</w:t>
                      </w:r>
                      <w:r>
                        <w:rPr>
                          <w:rFonts w:hint="eastAsia" w:ascii="仿宋_GB2312" w:hAnsi="仿宋_GB2312" w:eastAsia="仿宋_GB2312" w:cs="仿宋_GB2312"/>
                          <w:b w:val="0"/>
                          <w:bCs w:val="0"/>
                          <w:spacing w:val="4"/>
                          <w:sz w:val="15"/>
                          <w:szCs w:val="15"/>
                          <w:lang w:val="en-US" w:eastAsia="zh-CN"/>
                        </w:rPr>
                        <w:t>建设</w:t>
                      </w:r>
                      <w:r>
                        <w:rPr>
                          <w:rFonts w:hint="eastAsia" w:ascii="仿宋_GB2312" w:hAnsi="仿宋_GB2312" w:eastAsia="仿宋_GB2312" w:cs="仿宋_GB2312"/>
                          <w:b w:val="0"/>
                          <w:bCs w:val="0"/>
                          <w:spacing w:val="4"/>
                          <w:sz w:val="15"/>
                          <w:szCs w:val="15"/>
                        </w:rPr>
                        <w:t>单位</w:t>
                      </w:r>
                      <w:r>
                        <w:rPr>
                          <w:rFonts w:hint="eastAsia" w:ascii="仿宋_GB2312" w:hAnsi="仿宋_GB2312" w:eastAsia="仿宋_GB2312" w:cs="仿宋_GB2312"/>
                          <w:b w:val="0"/>
                          <w:bCs w:val="0"/>
                          <w:spacing w:val="4"/>
                          <w:sz w:val="15"/>
                          <w:szCs w:val="15"/>
                          <w:lang w:val="en-US" w:eastAsia="zh-CN"/>
                        </w:rPr>
                        <w:t>应当根据招标项目的特点和需要编制招标文件</w:t>
                      </w:r>
                      <w:r>
                        <w:rPr>
                          <w:rFonts w:hint="eastAsia" w:ascii="仿宋_GB2312" w:hAnsi="仿宋_GB2312" w:eastAsia="仿宋_GB2312" w:cs="仿宋_GB2312"/>
                          <w:b w:val="0"/>
                          <w:bCs w:val="0"/>
                          <w:color w:val="auto"/>
                          <w:spacing w:val="4"/>
                          <w:sz w:val="15"/>
                          <w:szCs w:val="15"/>
                          <w:lang w:val="en-US" w:eastAsia="zh-CN"/>
                        </w:rPr>
                        <w:t>。对投资2000万元以上的项目</w:t>
                      </w:r>
                      <w:r>
                        <w:rPr>
                          <w:rFonts w:hint="eastAsia" w:ascii="仿宋_GB2312" w:hAnsi="仿宋_GB2312" w:eastAsia="仿宋_GB2312" w:cs="仿宋_GB2312"/>
                          <w:b w:val="0"/>
                          <w:bCs w:val="0"/>
                          <w:color w:val="auto"/>
                          <w:spacing w:val="4"/>
                          <w:sz w:val="15"/>
                          <w:szCs w:val="15"/>
                        </w:rPr>
                        <w:t>招标</w:t>
                      </w:r>
                      <w:r>
                        <w:rPr>
                          <w:rFonts w:hint="eastAsia" w:ascii="仿宋_GB2312" w:hAnsi="仿宋_GB2312" w:eastAsia="仿宋_GB2312" w:cs="仿宋_GB2312"/>
                          <w:b w:val="0"/>
                          <w:bCs w:val="0"/>
                          <w:color w:val="auto"/>
                          <w:spacing w:val="4"/>
                          <w:sz w:val="15"/>
                          <w:szCs w:val="15"/>
                          <w:lang w:val="en-US" w:eastAsia="zh-CN"/>
                        </w:rPr>
                        <w:t>公告</w:t>
                      </w:r>
                      <w:r>
                        <w:rPr>
                          <w:rFonts w:hint="eastAsia" w:ascii="仿宋_GB2312" w:hAnsi="仿宋_GB2312" w:eastAsia="仿宋_GB2312" w:cs="仿宋_GB2312"/>
                          <w:b w:val="0"/>
                          <w:bCs w:val="0"/>
                          <w:color w:val="auto"/>
                          <w:spacing w:val="4"/>
                          <w:sz w:val="15"/>
                          <w:szCs w:val="15"/>
                        </w:rPr>
                        <w:t>和招标</w:t>
                      </w:r>
                      <w:r>
                        <w:rPr>
                          <w:rFonts w:hint="eastAsia" w:ascii="仿宋_GB2312" w:hAnsi="仿宋_GB2312" w:eastAsia="仿宋_GB2312" w:cs="仿宋_GB2312"/>
                          <w:b w:val="0"/>
                          <w:bCs w:val="0"/>
                          <w:color w:val="auto"/>
                          <w:spacing w:val="4"/>
                          <w:sz w:val="15"/>
                          <w:szCs w:val="15"/>
                          <w:lang w:val="en-US" w:eastAsia="zh-CN"/>
                        </w:rPr>
                        <w:t>文件，由建设单位进行合法性审查后，</w:t>
                      </w:r>
                      <w:r>
                        <w:rPr>
                          <w:rFonts w:hint="eastAsia" w:ascii="仿宋_GB2312" w:hAnsi="仿宋_GB2312" w:eastAsia="仿宋_GB2312" w:cs="仿宋_GB2312"/>
                          <w:b w:val="0"/>
                          <w:bCs w:val="0"/>
                          <w:color w:val="auto"/>
                          <w:spacing w:val="-1"/>
                          <w:sz w:val="15"/>
                          <w:szCs w:val="15"/>
                        </w:rPr>
                        <w:t>依法</w:t>
                      </w:r>
                      <w:r>
                        <w:rPr>
                          <w:rFonts w:hint="eastAsia" w:ascii="仿宋_GB2312" w:hAnsi="仿宋_GB2312" w:eastAsia="仿宋_GB2312" w:cs="仿宋_GB2312"/>
                          <w:b w:val="0"/>
                          <w:bCs w:val="0"/>
                          <w:color w:val="auto"/>
                          <w:spacing w:val="-1"/>
                          <w:sz w:val="15"/>
                          <w:szCs w:val="15"/>
                          <w:lang w:val="en-US" w:eastAsia="zh-CN"/>
                        </w:rPr>
                        <w:t>在相关媒体</w:t>
                      </w:r>
                      <w:r>
                        <w:rPr>
                          <w:rFonts w:hint="eastAsia" w:ascii="仿宋_GB2312" w:hAnsi="仿宋_GB2312" w:eastAsia="仿宋_GB2312" w:cs="仿宋_GB2312"/>
                          <w:b w:val="0"/>
                          <w:bCs w:val="0"/>
                          <w:color w:val="auto"/>
                          <w:spacing w:val="-1"/>
                          <w:sz w:val="15"/>
                          <w:szCs w:val="15"/>
                        </w:rPr>
                        <w:t>发布。</w:t>
                      </w:r>
                    </w:p>
                    <w:p w14:paraId="6418DD01">
                      <w:pPr>
                        <w:rPr>
                          <w:b/>
                          <w:bCs w:val="0"/>
                          <w:sz w:val="15"/>
                          <w:szCs w:val="15"/>
                        </w:rPr>
                      </w:pPr>
                    </w:p>
                  </w:txbxContent>
                </v:textbox>
              </v:rect>
            </w:pict>
          </mc:Fallback>
        </mc:AlternateContent>
      </w:r>
    </w:p>
    <w:p w14:paraId="335F0D71">
      <w:pPr>
        <w:spacing w:line="500" w:lineRule="exact"/>
        <w:ind w:firstLine="161" w:firstLineChars="50"/>
        <w:jc w:val="left"/>
        <w:rPr>
          <w:rFonts w:hint="default" w:ascii="仿宋" w:hAnsi="仿宋" w:eastAsia="仿宋"/>
          <w:b/>
          <w:color w:val="000000"/>
          <w:sz w:val="32"/>
          <w:szCs w:val="32"/>
          <w:lang w:val="en-US"/>
        </w:rPr>
      </w:pPr>
      <w:r>
        <w:rPr>
          <w:rFonts w:hint="eastAsia" w:ascii="仿宋" w:hAnsi="仿宋" w:eastAsia="仿宋"/>
          <w:b/>
          <w:color w:val="000000"/>
          <w:sz w:val="32"/>
          <w:szCs w:val="32"/>
          <w:lang w:val="en-US" w:eastAsia="zh-CN"/>
        </w:rPr>
        <w:t xml:space="preserve">    </w:t>
      </w:r>
    </w:p>
    <w:p w14:paraId="2EB97930">
      <w:pPr>
        <w:spacing w:line="500" w:lineRule="exact"/>
        <w:jc w:val="left"/>
        <w:rPr>
          <w:rFonts w:hint="default" w:ascii="仿宋" w:hAnsi="仿宋" w:eastAsia="仿宋"/>
          <w:b/>
          <w:color w:val="000000"/>
          <w:sz w:val="32"/>
          <w:szCs w:val="32"/>
          <w:lang w:val="en-US"/>
        </w:rPr>
      </w:pPr>
      <w:r>
        <w:rPr>
          <w:rFonts w:hint="eastAsia" w:ascii="仿宋" w:hAnsi="仿宋" w:eastAsia="仿宋"/>
          <w:b/>
          <w:i/>
          <w:iCs/>
          <w:color w:val="000000"/>
          <w:sz w:val="32"/>
          <w:szCs w:val="32"/>
          <w:lang w:val="en-US" w:eastAsia="zh-CN"/>
        </w:rPr>
        <w:t xml:space="preserve">      </w:t>
      </w:r>
    </w:p>
    <w:p w14:paraId="28E0E5FA">
      <w:pPr>
        <w:spacing w:line="620" w:lineRule="exact"/>
        <w:jc w:val="left"/>
        <w:rPr>
          <w:rFonts w:hint="default" w:ascii="仿宋" w:hAnsi="仿宋" w:eastAsia="仿宋"/>
          <w:b/>
          <w:color w:val="000000"/>
          <w:sz w:val="32"/>
          <w:szCs w:val="32"/>
          <w:lang w:val="en-US"/>
        </w:rPr>
      </w:pPr>
      <w:r>
        <w:rPr>
          <w:rFonts w:hint="eastAsia" w:ascii="仿宋" w:hAnsi="仿宋" w:eastAsia="仿宋"/>
          <w:b/>
          <w:color w:val="000000"/>
          <w:sz w:val="32"/>
          <w:szCs w:val="32"/>
          <w:lang w:val="en-US" w:eastAsia="zh-CN"/>
        </w:rPr>
        <w:t xml:space="preserve"> </w:t>
      </w:r>
    </w:p>
    <w:p w14:paraId="0D02F8C6">
      <w:pPr>
        <w:spacing w:line="620" w:lineRule="exact"/>
        <w:ind w:firstLine="161" w:firstLineChars="50"/>
        <w:jc w:val="left"/>
        <w:rPr>
          <w:rFonts w:ascii="仿宋" w:hAnsi="仿宋" w:eastAsia="仿宋"/>
          <w:b/>
          <w:color w:val="000000"/>
          <w:sz w:val="32"/>
          <w:szCs w:val="32"/>
        </w:rPr>
      </w:pPr>
    </w:p>
    <w:p w14:paraId="32D5DE0B">
      <w:pPr>
        <w:spacing w:line="620" w:lineRule="exact"/>
        <w:ind w:firstLine="161" w:firstLineChars="50"/>
        <w:jc w:val="left"/>
        <w:rPr>
          <w:rFonts w:ascii="仿宋" w:hAnsi="仿宋" w:eastAsia="仿宋"/>
          <w:b/>
          <w:color w:val="000000"/>
          <w:sz w:val="32"/>
          <w:szCs w:val="32"/>
        </w:rPr>
      </w:pPr>
    </w:p>
    <w:p w14:paraId="7C293257">
      <w:pPr>
        <w:spacing w:line="620" w:lineRule="exact"/>
        <w:ind w:firstLine="161" w:firstLineChars="50"/>
        <w:jc w:val="left"/>
        <w:rPr>
          <w:rFonts w:ascii="仿宋" w:hAnsi="仿宋" w:eastAsia="仿宋"/>
          <w:b/>
          <w:color w:val="000000"/>
          <w:sz w:val="32"/>
          <w:szCs w:val="32"/>
        </w:rPr>
      </w:pPr>
    </w:p>
    <w:p w14:paraId="72DF56B5">
      <w:pPr>
        <w:spacing w:line="620" w:lineRule="exact"/>
        <w:ind w:firstLine="105" w:firstLineChars="50"/>
        <w:jc w:val="left"/>
        <w:rPr>
          <w:rFonts w:hint="default" w:ascii="仿宋" w:hAnsi="仿宋" w:eastAsia="宋体"/>
          <w:b/>
          <w:color w:val="000000"/>
          <w:sz w:val="32"/>
          <w:szCs w:val="32"/>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1186815</wp:posOffset>
                </wp:positionH>
                <wp:positionV relativeFrom="paragraph">
                  <wp:posOffset>370840</wp:posOffset>
                </wp:positionV>
                <wp:extent cx="1125855" cy="346710"/>
                <wp:effectExtent l="4445" t="4445" r="12700" b="10795"/>
                <wp:wrapNone/>
                <wp:docPr id="57" name="矩形 57"/>
                <wp:cNvGraphicFramePr/>
                <a:graphic xmlns:a="http://schemas.openxmlformats.org/drawingml/2006/main">
                  <a:graphicData uri="http://schemas.microsoft.com/office/word/2010/wordprocessingShape">
                    <wps:wsp>
                      <wps:cNvSpPr/>
                      <wps:spPr>
                        <a:xfrm>
                          <a:off x="2707640" y="8948420"/>
                          <a:ext cx="1125855" cy="3467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CCE451">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有关部门</w:t>
                            </w:r>
                          </w:p>
                          <w:p w14:paraId="4DCF51E2"/>
                          <w:p w14:paraId="654DA43D"/>
                        </w:txbxContent>
                      </wps:txbx>
                      <wps:bodyPr upright="1"/>
                    </wps:wsp>
                  </a:graphicData>
                </a:graphic>
              </wp:anchor>
            </w:drawing>
          </mc:Choice>
          <mc:Fallback>
            <w:pict>
              <v:rect id="_x0000_s1026" o:spid="_x0000_s1026" o:spt="1" style="position:absolute;left:0pt;margin-left:93.45pt;margin-top:29.2pt;height:27.3pt;width:88.65pt;z-index:251663360;mso-width-relative:page;mso-height-relative:page;" fillcolor="#FFFFFF" filled="t" stroked="t" coordsize="21600,21600" o:gfxdata="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ilBrvYAAAACgEAAA8AAAAAAAAA&#10;AQAgAAAAIgAAAGRycy9kb3ducmV2LnhtbFBLAQIUABQAAAAIAIdO4kA1ANWeEQIAADcEAAAOAAAA&#10;AAAAAAEAIAAAACcBAABkcnMvZTJvRG9jLnhtbFBLBQYAAAAABgAGAFkBAACqBQAAAAA=&#10;">
                <v:fill on="t" focussize="0,0"/>
                <v:stroke color="#000000" joinstyle="miter"/>
                <v:imagedata o:title=""/>
                <o:lock v:ext="edit" aspectratio="f"/>
                <v:textbox>
                  <w:txbxContent>
                    <w:p w14:paraId="48CCE451">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rPr>
                        <w:t>建设单位</w:t>
                      </w:r>
                      <w:r>
                        <w:rPr>
                          <w:rFonts w:hint="eastAsia" w:ascii="仿宋_GB2312" w:hAnsi="仿宋" w:eastAsia="仿宋_GB2312" w:cs="仿宋"/>
                          <w:b w:val="0"/>
                          <w:bCs/>
                          <w:color w:val="000000"/>
                          <w:sz w:val="18"/>
                          <w:szCs w:val="18"/>
                          <w:lang w:eastAsia="zh-CN"/>
                        </w:rPr>
                        <w:t>、</w:t>
                      </w:r>
                      <w:r>
                        <w:rPr>
                          <w:rFonts w:hint="eastAsia" w:ascii="仿宋_GB2312" w:hAnsi="仿宋" w:eastAsia="仿宋_GB2312" w:cs="仿宋"/>
                          <w:b w:val="0"/>
                          <w:bCs/>
                          <w:color w:val="000000"/>
                          <w:sz w:val="18"/>
                          <w:szCs w:val="18"/>
                          <w:lang w:val="en-US" w:eastAsia="zh-CN"/>
                        </w:rPr>
                        <w:t>有关部门</w:t>
                      </w:r>
                    </w:p>
                    <w:p w14:paraId="4DCF51E2"/>
                    <w:p w14:paraId="654DA43D"/>
                  </w:txbxContent>
                </v:textbox>
              </v:rect>
            </w:pict>
          </mc:Fallback>
        </mc:AlternateContent>
      </w:r>
      <w:r>
        <w:rPr>
          <w:rFonts w:hint="eastAsia"/>
          <w:color w:val="000000"/>
          <w:sz w:val="32"/>
          <w:lang w:val="en-US" w:eastAsia="zh-CN"/>
        </w:rPr>
        <w:t xml:space="preserve">                             </w:t>
      </w:r>
    </w:p>
    <w:p w14:paraId="654CB9E5">
      <w:pPr>
        <w:spacing w:line="620" w:lineRule="exact"/>
        <w:jc w:val="left"/>
        <w:rPr>
          <w:rFonts w:hint="default" w:ascii="仿宋" w:hAnsi="仿宋" w:eastAsia="仿宋"/>
          <w:b/>
          <w:color w:val="000000"/>
          <w:sz w:val="32"/>
          <w:szCs w:val="32"/>
          <w:lang w:val="en-US"/>
        </w:rPr>
      </w:pPr>
      <w:r>
        <w:rPr>
          <w:rFonts w:ascii="仿宋" w:hAnsi="仿宋" w:eastAsia="仿宋"/>
          <w:b/>
          <w:color w:val="000000"/>
          <w:sz w:val="32"/>
          <w:szCs w:val="32"/>
        </w:rPr>
        <mc:AlternateContent>
          <mc:Choice Requires="wps">
            <w:drawing>
              <wp:anchor distT="0" distB="0" distL="114300" distR="114300" simplePos="0" relativeHeight="251664384" behindDoc="0" locked="0" layoutInCell="1" allowOverlap="1">
                <wp:simplePos x="0" y="0"/>
                <wp:positionH relativeFrom="column">
                  <wp:posOffset>210820</wp:posOffset>
                </wp:positionH>
                <wp:positionV relativeFrom="paragraph">
                  <wp:posOffset>393700</wp:posOffset>
                </wp:positionV>
                <wp:extent cx="197485" cy="635"/>
                <wp:effectExtent l="38100" t="0" r="37465" b="12065"/>
                <wp:wrapNone/>
                <wp:docPr id="72" name="肘形连接符 72"/>
                <wp:cNvGraphicFramePr/>
                <a:graphic xmlns:a="http://schemas.openxmlformats.org/drawingml/2006/main">
                  <a:graphicData uri="http://schemas.microsoft.com/office/word/2010/wordprocessingShape">
                    <wps:wsp>
                      <wps:cNvCnPr/>
                      <wps:spPr>
                        <a:xfrm rot="5400000">
                          <a:off x="0" y="0"/>
                          <a:ext cx="197485" cy="635"/>
                        </a:xfrm>
                        <a:prstGeom prst="bentConnector3">
                          <a:avLst>
                            <a:gd name="adj1" fmla="val 49838"/>
                          </a:avLst>
                        </a:prstGeom>
                        <a:ln w="9525" cap="flat" cmpd="sng">
                          <a:solidFill>
                            <a:srgbClr val="000000"/>
                          </a:solidFill>
                          <a:prstDash val="solid"/>
                          <a:miter/>
                          <a:headEnd type="none" w="med" len="med"/>
                          <a:tailEnd type="triangle" w="med" len="med"/>
                        </a:ln>
                      </wps:spPr>
                      <wps:bodyPr/>
                    </wps:wsp>
                  </a:graphicData>
                </a:graphic>
              </wp:anchor>
            </w:drawing>
          </mc:Choice>
          <mc:Fallback>
            <w:pict>
              <v:shape id="_x0000_s1026" o:spid="_x0000_s1026" o:spt="34" type="#_x0000_t34" style="position:absolute;left:0pt;margin-left:16.6pt;margin-top:31pt;height:0.05pt;width:15.55pt;rotation:5898240f;z-index:251664384;mso-width-relative:page;mso-height-relative:page;" filled="f" stroked="t" coordsize="21600,21600" o:gfxdata="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XcoWNdYAAAAHAQAADwAAAAAAAAABACAAAAAiAAAAZHJzL2Rvd25yZXYueG1sUEsBAhQAFAAAAAgA&#10;h07iQMZGX0MnAgAALgQAAA4AAAAAAAAAAQAgAAAAJQEAAGRycy9lMm9Eb2MueG1sUEsFBgAAAAAG&#10;AAYAWQEAAL4FAAAAAA==&#10;" adj="10765">
                <v:fill on="f" focussize="0,0"/>
                <v:stroke color="#000000" joinstyle="miter" endarrow="block"/>
                <v:imagedata o:title=""/>
                <o:lock v:ext="edit" aspectratio="f"/>
              </v:shape>
            </w:pict>
          </mc:Fallback>
        </mc:AlternateContent>
      </w:r>
      <w:r>
        <w:rPr>
          <w:rFonts w:hint="eastAsia" w:ascii="仿宋" w:hAnsi="仿宋" w:eastAsia="仿宋"/>
          <w:b/>
          <w:color w:val="000000"/>
          <w:sz w:val="32"/>
          <w:szCs w:val="32"/>
          <w:lang w:val="en-US" w:eastAsia="zh-CN"/>
        </w:rPr>
        <w:t xml:space="preserve">                </w:t>
      </w:r>
    </w:p>
    <w:p w14:paraId="771038E2">
      <w:pPr>
        <w:spacing w:line="620" w:lineRule="exact"/>
        <w:ind w:firstLine="102" w:firstLineChars="49"/>
        <w:jc w:val="left"/>
        <w:rPr>
          <w:rFonts w:hint="default" w:ascii="仿宋_GB2312" w:hAnsi="仿宋_GB2312" w:eastAsia="仿宋_GB2312" w:cs="仿宋_GB2312"/>
          <w:b/>
          <w:color w:val="000000"/>
          <w:szCs w:val="21"/>
          <w:lang w:val="en-US"/>
        </w:rPr>
      </w:pPr>
      <w:r>
        <mc:AlternateContent>
          <mc:Choice Requires="wps">
            <w:drawing>
              <wp:anchor distT="0" distB="0" distL="114300" distR="114300" simplePos="0" relativeHeight="251666432" behindDoc="0" locked="0" layoutInCell="1" allowOverlap="1">
                <wp:simplePos x="0" y="0"/>
                <wp:positionH relativeFrom="column">
                  <wp:posOffset>2332990</wp:posOffset>
                </wp:positionH>
                <wp:positionV relativeFrom="paragraph">
                  <wp:posOffset>229235</wp:posOffset>
                </wp:positionV>
                <wp:extent cx="286385" cy="0"/>
                <wp:effectExtent l="0" t="38100" r="18415" b="38100"/>
                <wp:wrapNone/>
                <wp:docPr id="82" name="直接箭头连接符 82"/>
                <wp:cNvGraphicFramePr/>
                <a:graphic xmlns:a="http://schemas.openxmlformats.org/drawingml/2006/main">
                  <a:graphicData uri="http://schemas.microsoft.com/office/word/2010/wordprocessingShape">
                    <wps:wsp>
                      <wps:cNvCnPr/>
                      <wps:spPr>
                        <a:xfrm>
                          <a:off x="0" y="0"/>
                          <a:ext cx="286385" cy="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w:pict>
              <v:shape id="_x0000_s1026" o:spid="_x0000_s1026" o:spt="32" type="#_x0000_t32" style="position:absolute;left:0pt;margin-left:183.7pt;margin-top:18.05pt;height:0pt;width:22.55pt;z-index:251666432;mso-width-relative:page;mso-height-relative:page;" filled="f" stroked="t" coordsize="21600,21600" o:gfxdata="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X3o8w2AAAAAkBAAAPAAAAAAAAAAEAIAAAACIA&#10;AABkcnMvZG93bnJldi54bWxQSwECFAAUAAAACACHTuJAALznCgkCAAD7AwAADgAAAAAAAAABACAA&#10;AAAnAQAAZHJzL2Uyb0RvYy54bWxQSwUGAAAAAAYABgBZAQAAog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880110</wp:posOffset>
                </wp:positionH>
                <wp:positionV relativeFrom="paragraph">
                  <wp:posOffset>250825</wp:posOffset>
                </wp:positionV>
                <wp:extent cx="248285" cy="0"/>
                <wp:effectExtent l="0" t="38100" r="18415" b="38100"/>
                <wp:wrapNone/>
                <wp:docPr id="83" name="直接箭头连接符 83"/>
                <wp:cNvGraphicFramePr/>
                <a:graphic xmlns:a="http://schemas.openxmlformats.org/drawingml/2006/main">
                  <a:graphicData uri="http://schemas.microsoft.com/office/word/2010/wordprocessingShape">
                    <wps:wsp>
                      <wps:cNvCnPr/>
                      <wps:spPr>
                        <a:xfrm>
                          <a:off x="0" y="0"/>
                          <a:ext cx="248285" cy="0"/>
                        </a:xfrm>
                        <a:prstGeom prst="straightConnector1">
                          <a:avLst/>
                        </a:prstGeom>
                        <a:ln w="9525" cap="flat" cmpd="sng">
                          <a:solidFill>
                            <a:srgbClr val="000000"/>
                          </a:solidFill>
                          <a:prstDash val="solid"/>
                          <a:headEnd type="none" w="med" len="med"/>
                          <a:tailEnd type="triangle" w="med" len="med"/>
                        </a:ln>
                        <a:effectLst/>
                      </wps:spPr>
                      <wps:bodyPr/>
                    </wps:wsp>
                  </a:graphicData>
                </a:graphic>
              </wp:anchor>
            </w:drawing>
          </mc:Choice>
          <mc:Fallback>
            <w:pict>
              <v:shape id="_x0000_s1026" o:spid="_x0000_s1026" o:spt="32" type="#_x0000_t32" style="position:absolute;left:0pt;margin-left:69.3pt;margin-top:19.75pt;height:0pt;width:19.55pt;z-index:251666432;mso-width-relative:page;mso-height-relative:page;" filled="f" stroked="t" coordsize="21600,21600" o:gfxdata="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6a6e7tkAAAAJAQAADwAAAAAAAAABACAAAAAi&#10;AAAAZHJzL2Rvd25yZXYueG1sUEsBAhQAFAAAAAgAh07iQHQM2i8JAgAA/wMAAA4AAAAAAAAAAQAg&#10;AAAAKAEAAGRycy9lMm9Eb2MueG1sUEsFBgAAAAAGAAYAWQEAAKMFAAAAAA==&#10;">
                <v:fill on="f" focussize="0,0"/>
                <v:stroke color="#000000" joinstyle="round" endarrow="block"/>
                <v:imagedata o:title=""/>
                <o:lock v:ext="edit" aspectratio="f"/>
              </v:shape>
            </w:pict>
          </mc:Fallback>
        </mc:AlternateContent>
      </w:r>
      <w:r>
        <w:rPr>
          <w:rFonts w:hint="eastAsia" w:ascii="仿宋_GB2312" w:hAnsi="仿宋_GB2312" w:eastAsia="仿宋_GB2312" w:cs="仿宋_GB2312"/>
          <w:b/>
          <w:color w:val="000000"/>
          <w:szCs w:val="21"/>
          <w:lang w:val="en-US" w:eastAsia="zh-CN"/>
        </w:rPr>
        <w:t xml:space="preserve">                                             </w:t>
      </w:r>
    </w:p>
    <w:p w14:paraId="79A8A6FF">
      <w:pPr>
        <w:spacing w:line="560" w:lineRule="exact"/>
        <w:ind w:firstLine="102" w:firstLineChars="49"/>
        <w:jc w:val="left"/>
        <w:rPr>
          <w:rFonts w:hint="default" w:ascii="仿宋_GB2312" w:hAnsi="仿宋_GB2312" w:eastAsia="仿宋_GB2312" w:cs="仿宋_GB2312"/>
          <w:b/>
          <w:color w:val="000000"/>
          <w:szCs w:val="21"/>
          <w:lang w:val="en-US"/>
        </w:rPr>
      </w:pPr>
      <w:r>
        <w:rPr>
          <w:sz w:val="21"/>
        </w:rPr>
        <mc:AlternateContent>
          <mc:Choice Requires="wpg">
            <w:drawing>
              <wp:anchor distT="0" distB="0" distL="114300" distR="114300" simplePos="0" relativeHeight="251667456" behindDoc="0" locked="0" layoutInCell="1" allowOverlap="1">
                <wp:simplePos x="0" y="0"/>
                <wp:positionH relativeFrom="column">
                  <wp:posOffset>-179705</wp:posOffset>
                </wp:positionH>
                <wp:positionV relativeFrom="paragraph">
                  <wp:posOffset>8890</wp:posOffset>
                </wp:positionV>
                <wp:extent cx="5918200" cy="1111250"/>
                <wp:effectExtent l="4445" t="0" r="20955" b="12700"/>
                <wp:wrapNone/>
                <wp:docPr id="84" name="组合 84"/>
                <wp:cNvGraphicFramePr/>
                <a:graphic xmlns:a="http://schemas.openxmlformats.org/drawingml/2006/main">
                  <a:graphicData uri="http://schemas.microsoft.com/office/word/2010/wordprocessingGroup">
                    <wpg:wgp>
                      <wpg:cNvGrpSpPr/>
                      <wpg:grpSpPr>
                        <a:xfrm>
                          <a:off x="0" y="0"/>
                          <a:ext cx="5918200" cy="1111250"/>
                          <a:chOff x="7103" y="224922"/>
                          <a:chExt cx="9320" cy="1750"/>
                        </a:xfrm>
                      </wpg:grpSpPr>
                      <wps:wsp>
                        <wps:cNvPr id="6" name="直接箭头连接符 6"/>
                        <wps:cNvCnPr/>
                        <wps:spPr>
                          <a:xfrm>
                            <a:off x="8760" y="226216"/>
                            <a:ext cx="375" cy="0"/>
                          </a:xfrm>
                          <a:prstGeom prst="straightConnector1">
                            <a:avLst/>
                          </a:prstGeom>
                          <a:ln w="9525" cap="flat" cmpd="sng">
                            <a:solidFill>
                              <a:srgbClr val="000000"/>
                            </a:solidFill>
                            <a:prstDash val="solid"/>
                            <a:round/>
                            <a:headEnd type="none" w="med" len="med"/>
                            <a:tailEnd type="triangle" w="med" len="med"/>
                          </a:ln>
                        </wps:spPr>
                        <wps:bodyPr/>
                      </wps:wsp>
                      <wps:wsp>
                        <wps:cNvPr id="7" name="矩形 7"/>
                        <wps:cNvSpPr/>
                        <wps:spPr>
                          <a:xfrm>
                            <a:off x="7103" y="226051"/>
                            <a:ext cx="1562" cy="43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D70188">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 xml:space="preserve">事后监管                       </w:t>
                              </w:r>
                            </w:p>
                            <w:p w14:paraId="1D80839A"/>
                          </w:txbxContent>
                        </wps:txbx>
                        <wps:bodyPr upright="1"/>
                      </wps:wsp>
                      <wps:wsp>
                        <wps:cNvPr id="4" name="矩形 4"/>
                        <wps:cNvSpPr/>
                        <wps:spPr>
                          <a:xfrm>
                            <a:off x="9248" y="225830"/>
                            <a:ext cx="1801" cy="79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1E7FC9">
                              <w:pPr>
                                <w:spacing w:line="200" w:lineRule="exact"/>
                                <w:jc w:val="center"/>
                                <w:rPr>
                                  <w:rFonts w:ascii="仿宋_GB2312" w:hAnsi="仿宋" w:eastAsia="仿宋_GB2312" w:cs="仿宋"/>
                                  <w:b w:val="0"/>
                                  <w:bCs/>
                                  <w:color w:val="000000"/>
                                  <w:sz w:val="18"/>
                                  <w:szCs w:val="18"/>
                                </w:rPr>
                              </w:pPr>
                              <w:r>
                                <w:rPr>
                                  <w:rFonts w:hint="eastAsia" w:ascii="仿宋_GB2312" w:eastAsia="仿宋_GB2312"/>
                                  <w:b w:val="0"/>
                                  <w:bCs/>
                                  <w:color w:val="000000"/>
                                  <w:sz w:val="18"/>
                                  <w:szCs w:val="18"/>
                                  <w:lang w:val="en-US" w:eastAsia="zh-CN"/>
                                </w:rPr>
                                <w:t>县</w:t>
                              </w:r>
                              <w:r>
                                <w:rPr>
                                  <w:rFonts w:hint="eastAsia" w:ascii="仿宋_GB2312" w:eastAsia="仿宋_GB2312"/>
                                  <w:b w:val="0"/>
                                  <w:bCs/>
                                  <w:color w:val="000000"/>
                                  <w:sz w:val="18"/>
                                  <w:szCs w:val="18"/>
                                </w:rPr>
                                <w:t>发改</w:t>
                              </w:r>
                              <w:r>
                                <w:rPr>
                                  <w:rFonts w:hint="eastAsia" w:ascii="仿宋_GB2312" w:eastAsia="仿宋_GB2312"/>
                                  <w:b w:val="0"/>
                                  <w:bCs/>
                                  <w:color w:val="000000"/>
                                  <w:sz w:val="18"/>
                                  <w:szCs w:val="18"/>
                                  <w:lang w:val="en-US" w:eastAsia="zh-CN"/>
                                </w:rPr>
                                <w:t>局</w:t>
                              </w:r>
                              <w:r>
                                <w:rPr>
                                  <w:rFonts w:hint="eastAsia" w:ascii="仿宋_GB2312" w:eastAsia="仿宋_GB2312"/>
                                  <w:b w:val="0"/>
                                  <w:bCs/>
                                  <w:color w:val="000000"/>
                                  <w:sz w:val="18"/>
                                  <w:szCs w:val="18"/>
                                </w:rPr>
                                <w:t>、</w:t>
                              </w:r>
                              <w:r>
                                <w:rPr>
                                  <w:rFonts w:hint="eastAsia" w:ascii="仿宋_GB2312" w:eastAsia="仿宋_GB2312"/>
                                  <w:b w:val="0"/>
                                  <w:bCs/>
                                  <w:color w:val="000000"/>
                                  <w:sz w:val="18"/>
                                  <w:szCs w:val="18"/>
                                  <w:lang w:val="en-US" w:eastAsia="zh-CN"/>
                                </w:rPr>
                                <w:t>建设单位、主管部门、</w:t>
                              </w:r>
                              <w:r>
                                <w:rPr>
                                  <w:rFonts w:hint="eastAsia" w:ascii="仿宋_GB2312" w:eastAsia="仿宋_GB2312"/>
                                  <w:b w:val="0"/>
                                  <w:bCs/>
                                  <w:color w:val="000000"/>
                                  <w:sz w:val="18"/>
                                  <w:szCs w:val="18"/>
                                </w:rPr>
                                <w:t>有关</w:t>
                              </w:r>
                              <w:r>
                                <w:rPr>
                                  <w:rFonts w:hint="eastAsia" w:ascii="仿宋_GB2312" w:hAnsi="仿宋" w:eastAsia="仿宋_GB2312" w:cs="仿宋"/>
                                  <w:b w:val="0"/>
                                  <w:bCs/>
                                  <w:color w:val="000000"/>
                                  <w:sz w:val="18"/>
                                  <w:szCs w:val="18"/>
                                </w:rPr>
                                <w:t>行政</w:t>
                              </w:r>
                              <w:r>
                                <w:rPr>
                                  <w:rFonts w:hint="eastAsia" w:ascii="仿宋_GB2312" w:hAnsi="仿宋" w:eastAsia="仿宋_GB2312" w:cs="仿宋"/>
                                  <w:b w:val="0"/>
                                  <w:bCs/>
                                  <w:color w:val="000000"/>
                                  <w:sz w:val="18"/>
                                  <w:szCs w:val="18"/>
                                  <w:lang w:val="en-US" w:eastAsia="zh-CN"/>
                                </w:rPr>
                                <w:t>监督</w:t>
                              </w:r>
                              <w:r>
                                <w:rPr>
                                  <w:rFonts w:hint="eastAsia" w:ascii="仿宋_GB2312" w:hAnsi="仿宋" w:eastAsia="仿宋_GB2312" w:cs="仿宋"/>
                                  <w:b w:val="0"/>
                                  <w:bCs/>
                                  <w:color w:val="000000"/>
                                  <w:sz w:val="18"/>
                                  <w:szCs w:val="18"/>
                                </w:rPr>
                                <w:t>部门</w:t>
                              </w:r>
                            </w:p>
                            <w:p w14:paraId="13FB55BC"/>
                          </w:txbxContent>
                        </wps:txbx>
                        <wps:bodyPr upright="1"/>
                      </wps:wsp>
                      <wps:wsp>
                        <wps:cNvPr id="74" name="肘形连接符 74"/>
                        <wps:cNvCnPr/>
                        <wps:spPr>
                          <a:xfrm rot="5400000">
                            <a:off x="7704" y="225077"/>
                            <a:ext cx="311" cy="1"/>
                          </a:xfrm>
                          <a:prstGeom prst="bentConnector3">
                            <a:avLst>
                              <a:gd name="adj1" fmla="val 49838"/>
                            </a:avLst>
                          </a:prstGeom>
                          <a:ln w="9525" cap="flat" cmpd="sng">
                            <a:solidFill>
                              <a:srgbClr val="000000"/>
                            </a:solidFill>
                            <a:prstDash val="solid"/>
                            <a:miter/>
                            <a:headEnd type="none" w="med" len="med"/>
                            <a:tailEnd type="triangle" w="med" len="med"/>
                          </a:ln>
                        </wps:spPr>
                        <wps:bodyPr/>
                      </wps:wsp>
                      <wps:wsp>
                        <wps:cNvPr id="5" name="矩形 5"/>
                        <wps:cNvSpPr/>
                        <wps:spPr>
                          <a:xfrm>
                            <a:off x="7129" y="225230"/>
                            <a:ext cx="1515" cy="39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A69FD5">
                              <w:pPr>
                                <w:ind w:firstLine="180" w:firstLineChars="1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竣工决算</w:t>
                              </w:r>
                            </w:p>
                          </w:txbxContent>
                        </wps:txbx>
                        <wps:bodyPr upright="1"/>
                      </wps:wsp>
                      <wps:wsp>
                        <wps:cNvPr id="50" name="直接箭头连接符 50"/>
                        <wps:cNvCnPr/>
                        <wps:spPr>
                          <a:xfrm>
                            <a:off x="8761" y="225473"/>
                            <a:ext cx="412" cy="0"/>
                          </a:xfrm>
                          <a:prstGeom prst="straightConnector1">
                            <a:avLst/>
                          </a:prstGeom>
                          <a:ln w="9525" cap="flat" cmpd="sng">
                            <a:solidFill>
                              <a:srgbClr val="000000"/>
                            </a:solidFill>
                            <a:prstDash val="solid"/>
                            <a:headEnd type="none" w="med" len="med"/>
                            <a:tailEnd type="triangle" w="med" len="med"/>
                          </a:ln>
                          <a:effectLst/>
                        </wps:spPr>
                        <wps:bodyPr/>
                      </wps:wsp>
                      <wps:wsp>
                        <wps:cNvPr id="75" name="矩形 75"/>
                        <wps:cNvSpPr/>
                        <wps:spPr>
                          <a:xfrm>
                            <a:off x="9263" y="225091"/>
                            <a:ext cx="1778" cy="60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D1A330">
                              <w:pPr>
                                <w:keepNext w:val="0"/>
                                <w:keepLines w:val="0"/>
                                <w:pageBreakBefore w:val="0"/>
                                <w:widowControl w:val="0"/>
                                <w:kinsoku/>
                                <w:wordWrap/>
                                <w:overflowPunct/>
                                <w:topLinePunct w:val="0"/>
                                <w:bidi w:val="0"/>
                                <w:adjustRightInd/>
                                <w:snapToGrid/>
                                <w:spacing w:line="200" w:lineRule="exact"/>
                                <w:jc w:val="left"/>
                                <w:textAlignment w:val="auto"/>
                                <w:rPr>
                                  <w:rFonts w:hint="eastAsia" w:ascii="仿宋_GB2312" w:hAnsi="仿宋_GB2312" w:eastAsia="仿宋_GB2312" w:cs="仿宋_GB2312"/>
                                  <w:b w:val="0"/>
                                  <w:bCs/>
                                  <w:sz w:val="18"/>
                                  <w:szCs w:val="18"/>
                                  <w:lang w:val="en-US" w:eastAsia="zh-CN"/>
                                </w:rPr>
                              </w:pPr>
                              <w:r>
                                <w:rPr>
                                  <w:rFonts w:hint="eastAsia" w:ascii="仿宋_GB2312" w:hAnsi="仿宋_GB2312" w:eastAsia="仿宋_GB2312" w:cs="仿宋_GB2312"/>
                                  <w:b w:val="0"/>
                                  <w:bCs/>
                                  <w:sz w:val="18"/>
                                  <w:szCs w:val="18"/>
                                  <w:lang w:val="en-US" w:eastAsia="zh-CN"/>
                                </w:rPr>
                                <w:t>建设单位及其主管部门、县财政局</w:t>
                              </w:r>
                            </w:p>
                          </w:txbxContent>
                        </wps:txbx>
                        <wps:bodyPr upright="1"/>
                      </wps:wsp>
                      <wps:wsp>
                        <wps:cNvPr id="2" name="直接箭头连接符 2"/>
                        <wps:cNvCnPr/>
                        <wps:spPr>
                          <a:xfrm>
                            <a:off x="11077" y="225442"/>
                            <a:ext cx="451" cy="0"/>
                          </a:xfrm>
                          <a:prstGeom prst="straightConnector1">
                            <a:avLst/>
                          </a:prstGeom>
                          <a:ln w="9525" cap="flat" cmpd="sng">
                            <a:solidFill>
                              <a:srgbClr val="000000"/>
                            </a:solidFill>
                            <a:prstDash val="solid"/>
                            <a:round/>
                            <a:headEnd type="none" w="med" len="med"/>
                            <a:tailEnd type="triangle" w="med" len="med"/>
                          </a:ln>
                        </wps:spPr>
                        <wps:bodyPr/>
                      </wps:wsp>
                      <wps:wsp>
                        <wps:cNvPr id="76" name="矩形 76"/>
                        <wps:cNvSpPr/>
                        <wps:spPr>
                          <a:xfrm>
                            <a:off x="11662" y="224967"/>
                            <a:ext cx="4746" cy="9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F6F04D">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lang w:val="en-US" w:eastAsia="zh-CN"/>
                                </w:rPr>
                                <w:t>建设单位严格在建设项目竣工验收合格后3个月内办理竣工财务决算，特殊情况确需延长的，期限最长不得超过1年。竣工财务决算经项目主管部门审核后报县财政局批复或备案，建设单位应当依照有关规定及时办理资产移交手续和产权登记手续。</w:t>
                              </w:r>
                            </w:p>
                          </w:txbxContent>
                        </wps:txbx>
                        <wps:bodyPr upright="1"/>
                      </wps:wsp>
                      <wps:wsp>
                        <wps:cNvPr id="8" name="矩形 8"/>
                        <wps:cNvSpPr/>
                        <wps:spPr>
                          <a:xfrm>
                            <a:off x="11618" y="225936"/>
                            <a:ext cx="4805" cy="73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3EBFDF">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lang w:val="en-US"/>
                                </w:rPr>
                              </w:pPr>
                              <w:r>
                                <w:rPr>
                                  <w:rFonts w:hint="eastAsia" w:ascii="仿宋_GB2312" w:hAnsi="仿宋_GB2312" w:eastAsia="仿宋_GB2312" w:cs="仿宋_GB2312"/>
                                  <w:b w:val="0"/>
                                  <w:bCs w:val="0"/>
                                  <w:sz w:val="15"/>
                                  <w:szCs w:val="15"/>
                                  <w:lang w:val="en-US" w:eastAsia="zh-CN"/>
                                </w:rPr>
                                <w:t>项目建成后，县发改局或其他有关部门选择有代表性已完成项目进行后评价。建设单位加强项目档案管理。有关行政监督部门各负其责，依法依规监管。</w:t>
                              </w:r>
                            </w:p>
                            <w:p w14:paraId="16C8FD89"/>
                          </w:txbxContent>
                        </wps:txbx>
                        <wps:bodyPr upright="1"/>
                      </wps:wsp>
                      <wps:wsp>
                        <wps:cNvPr id="3" name="肘形连接符 3"/>
                        <wps:cNvCnPr/>
                        <wps:spPr>
                          <a:xfrm rot="5400000" flipV="1">
                            <a:off x="7642" y="225884"/>
                            <a:ext cx="366" cy="5"/>
                          </a:xfrm>
                          <a:prstGeom prst="bentConnector2">
                            <a:avLst/>
                          </a:prstGeom>
                          <a:ln w="9525" cap="flat" cmpd="sng">
                            <a:solidFill>
                              <a:srgbClr val="000000"/>
                            </a:solidFill>
                            <a:prstDash val="solid"/>
                            <a:miter/>
                            <a:headEnd type="none" w="med" len="med"/>
                            <a:tailEnd type="triangle" w="med" len="med"/>
                          </a:ln>
                        </wps:spPr>
                        <wps:bodyPr/>
                      </wps:wsp>
                      <wps:wsp>
                        <wps:cNvPr id="85" name="直接箭头连接符 85"/>
                        <wps:cNvCnPr/>
                        <wps:spPr>
                          <a:xfrm>
                            <a:off x="11065" y="226242"/>
                            <a:ext cx="451" cy="0"/>
                          </a:xfrm>
                          <a:prstGeom prst="straightConnector1">
                            <a:avLst/>
                          </a:prstGeom>
                          <a:ln w="9525" cap="flat" cmpd="sng">
                            <a:solidFill>
                              <a:srgbClr val="000000"/>
                            </a:solidFill>
                            <a:prstDash val="solid"/>
                            <a:round/>
                            <a:headEnd type="none" w="med" len="med"/>
                            <a:tailEnd type="triangle" w="med" len="med"/>
                          </a:ln>
                        </wps:spPr>
                        <wps:bodyPr/>
                      </wps:wsp>
                    </wpg:wgp>
                  </a:graphicData>
                </a:graphic>
              </wp:anchor>
            </w:drawing>
          </mc:Choice>
          <mc:Fallback>
            <w:pict>
              <v:group id="_x0000_s1026" o:spid="_x0000_s1026" o:spt="203" style="position:absolute;left:0pt;margin-left:-14.15pt;margin-top:0.7pt;height:87.5pt;width:466pt;z-index:251667456;mso-width-relative:page;mso-height-relative:page;" coordorigin="7103,224922" coordsize="9320,1750" o:gfxdata="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">
                <o:lock v:ext="edit" aspectratio="f"/>
                <v:shape id="_x0000_s1026" o:spid="_x0000_s1026" o:spt="32" type="#_x0000_t32" style="position:absolute;left:8760;top:226216;height:0;width:375;" filled="f" stroked="t" coordsize="21600,21600" o:gfxdata="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fnRaG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_x0000_s1026" o:spid="_x0000_s1026" o:spt="1" style="position:absolute;left:7103;top:226051;height:433;width:1562;" fillcolor="#FFFFFF" filled="t" stroked="t" coordsize="21600,21600" o:gfxdata="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xaGm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AD70188">
                        <w:pPr>
                          <w:spacing w:line="200" w:lineRule="exact"/>
                          <w:jc w:val="center"/>
                          <w:rPr>
                            <w:rFonts w:hint="default" w:ascii="仿宋_GB2312" w:hAnsi="仿宋" w:eastAsia="仿宋_GB2312" w:cs="仿宋"/>
                            <w:b w:val="0"/>
                            <w:bCs/>
                            <w:color w:val="000000"/>
                            <w:sz w:val="18"/>
                            <w:szCs w:val="18"/>
                            <w:lang w:val="en-US" w:eastAsia="zh-CN"/>
                          </w:rPr>
                        </w:pPr>
                        <w:r>
                          <w:rPr>
                            <w:rFonts w:hint="eastAsia" w:ascii="仿宋_GB2312" w:hAnsi="仿宋" w:eastAsia="仿宋_GB2312" w:cs="仿宋"/>
                            <w:b w:val="0"/>
                            <w:bCs/>
                            <w:color w:val="000000"/>
                            <w:sz w:val="18"/>
                            <w:szCs w:val="18"/>
                            <w:lang w:val="en-US" w:eastAsia="zh-CN"/>
                          </w:rPr>
                          <w:t xml:space="preserve">事后监管                       </w:t>
                        </w:r>
                      </w:p>
                      <w:p w14:paraId="1D80839A"/>
                    </w:txbxContent>
                  </v:textbox>
                </v:rect>
                <v:rect id="_x0000_s1026" o:spid="_x0000_s1026" o:spt="1" style="position:absolute;left:9248;top:225830;height:792;width:1801;" fillcolor="#FFFFFF" filled="t" stroked="t" coordsize="21600,21600" o:gfxdata="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Fz/R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61E7FC9">
                        <w:pPr>
                          <w:spacing w:line="200" w:lineRule="exact"/>
                          <w:jc w:val="center"/>
                          <w:rPr>
                            <w:rFonts w:ascii="仿宋_GB2312" w:hAnsi="仿宋" w:eastAsia="仿宋_GB2312" w:cs="仿宋"/>
                            <w:b w:val="0"/>
                            <w:bCs/>
                            <w:color w:val="000000"/>
                            <w:sz w:val="18"/>
                            <w:szCs w:val="18"/>
                          </w:rPr>
                        </w:pPr>
                        <w:r>
                          <w:rPr>
                            <w:rFonts w:hint="eastAsia" w:ascii="仿宋_GB2312" w:eastAsia="仿宋_GB2312"/>
                            <w:b w:val="0"/>
                            <w:bCs/>
                            <w:color w:val="000000"/>
                            <w:sz w:val="18"/>
                            <w:szCs w:val="18"/>
                            <w:lang w:val="en-US" w:eastAsia="zh-CN"/>
                          </w:rPr>
                          <w:t>县</w:t>
                        </w:r>
                        <w:r>
                          <w:rPr>
                            <w:rFonts w:hint="eastAsia" w:ascii="仿宋_GB2312" w:eastAsia="仿宋_GB2312"/>
                            <w:b w:val="0"/>
                            <w:bCs/>
                            <w:color w:val="000000"/>
                            <w:sz w:val="18"/>
                            <w:szCs w:val="18"/>
                          </w:rPr>
                          <w:t>发改</w:t>
                        </w:r>
                        <w:r>
                          <w:rPr>
                            <w:rFonts w:hint="eastAsia" w:ascii="仿宋_GB2312" w:eastAsia="仿宋_GB2312"/>
                            <w:b w:val="0"/>
                            <w:bCs/>
                            <w:color w:val="000000"/>
                            <w:sz w:val="18"/>
                            <w:szCs w:val="18"/>
                            <w:lang w:val="en-US" w:eastAsia="zh-CN"/>
                          </w:rPr>
                          <w:t>局</w:t>
                        </w:r>
                        <w:r>
                          <w:rPr>
                            <w:rFonts w:hint="eastAsia" w:ascii="仿宋_GB2312" w:eastAsia="仿宋_GB2312"/>
                            <w:b w:val="0"/>
                            <w:bCs/>
                            <w:color w:val="000000"/>
                            <w:sz w:val="18"/>
                            <w:szCs w:val="18"/>
                          </w:rPr>
                          <w:t>、</w:t>
                        </w:r>
                        <w:r>
                          <w:rPr>
                            <w:rFonts w:hint="eastAsia" w:ascii="仿宋_GB2312" w:eastAsia="仿宋_GB2312"/>
                            <w:b w:val="0"/>
                            <w:bCs/>
                            <w:color w:val="000000"/>
                            <w:sz w:val="18"/>
                            <w:szCs w:val="18"/>
                            <w:lang w:val="en-US" w:eastAsia="zh-CN"/>
                          </w:rPr>
                          <w:t>建设单位、主管部门、</w:t>
                        </w:r>
                        <w:r>
                          <w:rPr>
                            <w:rFonts w:hint="eastAsia" w:ascii="仿宋_GB2312" w:eastAsia="仿宋_GB2312"/>
                            <w:b w:val="0"/>
                            <w:bCs/>
                            <w:color w:val="000000"/>
                            <w:sz w:val="18"/>
                            <w:szCs w:val="18"/>
                          </w:rPr>
                          <w:t>有关</w:t>
                        </w:r>
                        <w:r>
                          <w:rPr>
                            <w:rFonts w:hint="eastAsia" w:ascii="仿宋_GB2312" w:hAnsi="仿宋" w:eastAsia="仿宋_GB2312" w:cs="仿宋"/>
                            <w:b w:val="0"/>
                            <w:bCs/>
                            <w:color w:val="000000"/>
                            <w:sz w:val="18"/>
                            <w:szCs w:val="18"/>
                          </w:rPr>
                          <w:t>行政</w:t>
                        </w:r>
                        <w:r>
                          <w:rPr>
                            <w:rFonts w:hint="eastAsia" w:ascii="仿宋_GB2312" w:hAnsi="仿宋" w:eastAsia="仿宋_GB2312" w:cs="仿宋"/>
                            <w:b w:val="0"/>
                            <w:bCs/>
                            <w:color w:val="000000"/>
                            <w:sz w:val="18"/>
                            <w:szCs w:val="18"/>
                            <w:lang w:val="en-US" w:eastAsia="zh-CN"/>
                          </w:rPr>
                          <w:t>监督</w:t>
                        </w:r>
                        <w:r>
                          <w:rPr>
                            <w:rFonts w:hint="eastAsia" w:ascii="仿宋_GB2312" w:hAnsi="仿宋" w:eastAsia="仿宋_GB2312" w:cs="仿宋"/>
                            <w:b w:val="0"/>
                            <w:bCs/>
                            <w:color w:val="000000"/>
                            <w:sz w:val="18"/>
                            <w:szCs w:val="18"/>
                          </w:rPr>
                          <w:t>部门</w:t>
                        </w:r>
                      </w:p>
                      <w:p w14:paraId="13FB55BC"/>
                    </w:txbxContent>
                  </v:textbox>
                </v:rect>
                <v:shape id="_x0000_s1026" o:spid="_x0000_s1026" o:spt="34" type="#_x0000_t34" style="position:absolute;left:7704;top:225077;height:1;width:311;rotation:5898240f;" filled="f" stroked="t" coordsize="21600,21600" o:gfxdata="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yYQnvQAA&#10;ANsAAAAPAAAAAAAAAAEAIAAAACIAAABkcnMvZG93bnJldi54bWxQSwECFAAUAAAACACHTuJAMy8F&#10;njsAAAA5AAAAEAAAAAAAAAABACAAAAAMAQAAZHJzL3NoYXBleG1sLnhtbFBLBQYAAAAABgAGAFsB&#10;AAC2AwAAAAA=&#10;" adj="10765">
                  <v:fill on="f" focussize="0,0"/>
                  <v:stroke color="#000000" joinstyle="miter" endarrow="block"/>
                  <v:imagedata o:title=""/>
                  <o:lock v:ext="edit" aspectratio="f"/>
                </v:shape>
                <v:rect id="_x0000_s1026" o:spid="_x0000_s1026" o:spt="1" style="position:absolute;left:7129;top:225230;height:392;width:1515;"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5A69FD5">
                        <w:pPr>
                          <w:ind w:firstLine="180" w:firstLineChars="100"/>
                          <w:rPr>
                            <w:rFonts w:hint="eastAsia" w:ascii="仿宋_GB2312" w:hAnsi="仿宋_GB2312" w:eastAsia="仿宋_GB2312" w:cs="仿宋_GB2312"/>
                            <w:b w:val="0"/>
                            <w:bCs w:val="0"/>
                            <w:sz w:val="18"/>
                            <w:szCs w:val="18"/>
                            <w:lang w:val="en-US" w:eastAsia="zh-CN"/>
                          </w:rPr>
                        </w:pPr>
                        <w:r>
                          <w:rPr>
                            <w:rFonts w:hint="eastAsia" w:ascii="仿宋_GB2312" w:hAnsi="仿宋_GB2312" w:eastAsia="仿宋_GB2312" w:cs="仿宋_GB2312"/>
                            <w:b w:val="0"/>
                            <w:bCs w:val="0"/>
                            <w:sz w:val="18"/>
                            <w:szCs w:val="18"/>
                            <w:lang w:val="en-US" w:eastAsia="zh-CN"/>
                          </w:rPr>
                          <w:t>竣工决算</w:t>
                        </w:r>
                      </w:p>
                    </w:txbxContent>
                  </v:textbox>
                </v:rect>
                <v:shape id="_x0000_s1026" o:spid="_x0000_s1026" o:spt="32" type="#_x0000_t32" style="position:absolute;left:8761;top:225473;height:0;width:412;" filled="f" stroked="t" coordsize="21600,21600" o:gfxdata="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eZQOr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rect id="_x0000_s1026" o:spid="_x0000_s1026" o:spt="1" style="position:absolute;left:9263;top:225091;height:603;width:1778;" fillcolor="#FFFFFF" filled="t" stroked="t" coordsize="21600,21600" o:gfxdata="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NFip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D1A330">
                        <w:pPr>
                          <w:keepNext w:val="0"/>
                          <w:keepLines w:val="0"/>
                          <w:pageBreakBefore w:val="0"/>
                          <w:widowControl w:val="0"/>
                          <w:kinsoku/>
                          <w:wordWrap/>
                          <w:overflowPunct/>
                          <w:topLinePunct w:val="0"/>
                          <w:bidi w:val="0"/>
                          <w:adjustRightInd/>
                          <w:snapToGrid/>
                          <w:spacing w:line="200" w:lineRule="exact"/>
                          <w:jc w:val="left"/>
                          <w:textAlignment w:val="auto"/>
                          <w:rPr>
                            <w:rFonts w:hint="eastAsia" w:ascii="仿宋_GB2312" w:hAnsi="仿宋_GB2312" w:eastAsia="仿宋_GB2312" w:cs="仿宋_GB2312"/>
                            <w:b w:val="0"/>
                            <w:bCs/>
                            <w:sz w:val="18"/>
                            <w:szCs w:val="18"/>
                            <w:lang w:val="en-US" w:eastAsia="zh-CN"/>
                          </w:rPr>
                        </w:pPr>
                        <w:r>
                          <w:rPr>
                            <w:rFonts w:hint="eastAsia" w:ascii="仿宋_GB2312" w:hAnsi="仿宋_GB2312" w:eastAsia="仿宋_GB2312" w:cs="仿宋_GB2312"/>
                            <w:b w:val="0"/>
                            <w:bCs/>
                            <w:sz w:val="18"/>
                            <w:szCs w:val="18"/>
                            <w:lang w:val="en-US" w:eastAsia="zh-CN"/>
                          </w:rPr>
                          <w:t>建设单位及其主管部门、县财政局</w:t>
                        </w:r>
                      </w:p>
                    </w:txbxContent>
                  </v:textbox>
                </v:rect>
                <v:shape id="_x0000_s1026" o:spid="_x0000_s1026" o:spt="32" type="#_x0000_t32" style="position:absolute;left:11077;top:225442;height:0;width:451;" filled="f" stroked="t" coordsize="21600,21600" o:gfxdata="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cQ6K8AAAA&#10;2g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rect id="_x0000_s1026" o:spid="_x0000_s1026" o:spt="1" style="position:absolute;left:11662;top:224967;height:920;width:4746;" fillcolor="#FFFFFF" filled="t" stroked="t" coordsize="21600,21600" o:gfxdata="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ObG3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01F6F04D">
                        <w:pPr>
                          <w:keepNext w:val="0"/>
                          <w:keepLines w:val="0"/>
                          <w:pageBreakBefore w:val="0"/>
                          <w:widowControl w:val="0"/>
                          <w:kinsoku/>
                          <w:wordWrap/>
                          <w:overflowPunct/>
                          <w:topLinePunct w:val="0"/>
                          <w:bidi w:val="0"/>
                          <w:adjustRightInd/>
                          <w:snapToGrid/>
                          <w:spacing w:line="180" w:lineRule="exact"/>
                          <w:textAlignment w:val="auto"/>
                          <w:rPr>
                            <w:rFonts w:hint="eastAsia" w:ascii="仿宋_GB2312" w:hAnsi="仿宋_GB2312" w:eastAsia="仿宋_GB2312" w:cs="仿宋_GB2312"/>
                            <w:b w:val="0"/>
                            <w:bCs w:val="0"/>
                            <w:sz w:val="15"/>
                            <w:szCs w:val="15"/>
                          </w:rPr>
                        </w:pPr>
                        <w:r>
                          <w:rPr>
                            <w:rFonts w:hint="eastAsia" w:ascii="仿宋_GB2312" w:hAnsi="仿宋_GB2312" w:eastAsia="仿宋_GB2312" w:cs="仿宋_GB2312"/>
                            <w:b w:val="0"/>
                            <w:bCs w:val="0"/>
                            <w:spacing w:val="-2"/>
                            <w:sz w:val="15"/>
                            <w:szCs w:val="15"/>
                            <w:lang w:val="en-US" w:eastAsia="zh-CN"/>
                          </w:rPr>
                          <w:t>建设单位严格在建设项目竣工验收合格后3个月内办理竣工财务决算，特殊情况确需延长的，期限最长不得超过1年。竣工财务决算经项目主管部门审核后报县财政局批复或备案，建设单位应当依照有关规定及时办理资产移交手续和产权登记手续。</w:t>
                        </w:r>
                      </w:p>
                    </w:txbxContent>
                  </v:textbox>
                </v:rect>
                <v:rect id="_x0000_s1026" o:spid="_x0000_s1026" o:spt="1" style="position:absolute;left:11618;top:225936;height:736;width:4805;"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523EBFDF">
                        <w:pPr>
                          <w:keepNext w:val="0"/>
                          <w:keepLines w:val="0"/>
                          <w:pageBreakBefore w:val="0"/>
                          <w:widowControl w:val="0"/>
                          <w:kinsoku/>
                          <w:wordWrap/>
                          <w:overflowPunct/>
                          <w:topLinePunct w:val="0"/>
                          <w:bidi w:val="0"/>
                          <w:adjustRightInd/>
                          <w:snapToGrid/>
                          <w:spacing w:line="200" w:lineRule="exact"/>
                          <w:textAlignment w:val="auto"/>
                          <w:rPr>
                            <w:rFonts w:hint="eastAsia" w:ascii="仿宋_GB2312" w:hAnsi="仿宋_GB2312" w:eastAsia="仿宋_GB2312" w:cs="仿宋_GB2312"/>
                            <w:b w:val="0"/>
                            <w:bCs w:val="0"/>
                            <w:sz w:val="15"/>
                            <w:szCs w:val="15"/>
                            <w:lang w:val="en-US"/>
                          </w:rPr>
                        </w:pPr>
                        <w:r>
                          <w:rPr>
                            <w:rFonts w:hint="eastAsia" w:ascii="仿宋_GB2312" w:hAnsi="仿宋_GB2312" w:eastAsia="仿宋_GB2312" w:cs="仿宋_GB2312"/>
                            <w:b w:val="0"/>
                            <w:bCs w:val="0"/>
                            <w:sz w:val="15"/>
                            <w:szCs w:val="15"/>
                            <w:lang w:val="en-US" w:eastAsia="zh-CN"/>
                          </w:rPr>
                          <w:t>项目建成后，县发改局或其他有关部门选择有代表性已完成项目进行后评价。建设单位加强项目档案管理。有关行政监督部门各负其责，依法依规监管。</w:t>
                        </w:r>
                      </w:p>
                      <w:p w14:paraId="16C8FD89"/>
                    </w:txbxContent>
                  </v:textbox>
                </v:rect>
                <v:shape id="_x0000_s1026" o:spid="_x0000_s1026" o:spt="33" type="#_x0000_t33" style="position:absolute;left:7642;top:225884;flip:y;height:5;width:366;rotation:-5898240f;" filled="f" stroked="t" coordsize="21600,21600" o:gfxdata="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gglu8AAAA&#10;2gAAAA8AAAAAAAAAAQAgAAAAIgAAAGRycy9kb3ducmV2LnhtbFBLAQIUABQAAAAIAIdO4kAzLwWe&#10;OwAAADkAAAAQAAAAAAAAAAEAIAAAAAsBAABkcnMvc2hhcGV4bWwueG1sUEsFBgAAAAAGAAYAWwEA&#10;ALUDAAAAAA==&#10;">
                  <v:fill on="f" focussize="0,0"/>
                  <v:stroke color="#000000" joinstyle="miter" endarrow="block"/>
                  <v:imagedata o:title=""/>
                  <o:lock v:ext="edit" aspectratio="f"/>
                </v:shape>
                <v:shape id="_x0000_s1026" o:spid="_x0000_s1026" o:spt="32" type="#_x0000_t32" style="position:absolute;left:11065;top:226242;height:0;width:451;" filled="f" stroked="t" coordsize="21600,21600" o:gfxdata="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Hf5b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group>
            </w:pict>
          </mc:Fallback>
        </mc:AlternateContent>
      </w:r>
      <w:r>
        <w:rPr>
          <w:rFonts w:hint="eastAsia" w:ascii="仿宋_GB2312" w:hAnsi="仿宋_GB2312" w:eastAsia="仿宋_GB2312" w:cs="仿宋_GB2312"/>
          <w:b/>
          <w:color w:val="000000"/>
          <w:szCs w:val="21"/>
          <w:lang w:val="en-US" w:eastAsia="zh-CN"/>
        </w:rPr>
        <w:t xml:space="preserve">                                                                   </w:t>
      </w:r>
    </w:p>
    <w:p w14:paraId="0FFD5070">
      <w:pPr>
        <w:spacing w:line="560" w:lineRule="exact"/>
        <w:ind w:firstLine="103" w:firstLineChars="49"/>
        <w:jc w:val="left"/>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lang w:val="en-US" w:eastAsia="zh-CN"/>
        </w:rPr>
        <w:t xml:space="preserve">                       </w:t>
      </w:r>
    </w:p>
    <w:p w14:paraId="6A47235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附件2</w:t>
      </w:r>
    </w:p>
    <w:p w14:paraId="4A64FB71">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color w:val="000000"/>
          <w:sz w:val="44"/>
          <w:szCs w:val="44"/>
          <w:lang w:val="en-US" w:eastAsia="zh-CN"/>
        </w:rPr>
      </w:pPr>
      <w:r>
        <w:rPr>
          <w:rFonts w:hint="eastAsia" w:ascii="方正大标宋简体" w:hAnsi="方正大标宋简体" w:eastAsia="方正大标宋简体" w:cs="方正大标宋简体"/>
          <w:color w:val="000000"/>
          <w:sz w:val="44"/>
          <w:szCs w:val="44"/>
          <w:lang w:val="en-US" w:eastAsia="zh-CN"/>
        </w:rPr>
        <w:t>政府投资项目决策审批表</w:t>
      </w:r>
    </w:p>
    <w:p w14:paraId="0DCB85C4">
      <w:pPr>
        <w:jc w:val="left"/>
        <w:rPr>
          <w:rFonts w:hint="eastAsia" w:ascii="仿宋" w:hAnsi="仿宋" w:eastAsia="仿宋" w:cs="仿宋"/>
          <w:color w:val="000000"/>
          <w:sz w:val="20"/>
          <w:szCs w:val="20"/>
          <w:lang w:val="en-US" w:eastAsia="zh-CN"/>
        </w:rPr>
      </w:pPr>
      <w:r>
        <w:rPr>
          <w:rFonts w:hint="eastAsia" w:ascii="方正小标宋简体" w:hAnsi="方正小标宋简体" w:eastAsia="方正小标宋简体" w:cs="方正小标宋简体"/>
          <w:color w:val="000000"/>
          <w:sz w:val="36"/>
          <w:szCs w:val="36"/>
          <w:lang w:val="en-US" w:eastAsia="zh-CN"/>
        </w:rPr>
        <w:t xml:space="preserve">                                        </w:t>
      </w:r>
      <w:r>
        <w:rPr>
          <w:rFonts w:hint="eastAsia" w:ascii="仿宋" w:hAnsi="仿宋" w:eastAsia="仿宋" w:cs="仿宋"/>
          <w:b/>
          <w:bCs/>
          <w:color w:val="000000"/>
          <w:sz w:val="20"/>
          <w:szCs w:val="20"/>
          <w:lang w:val="en-US" w:eastAsia="zh-CN"/>
        </w:rPr>
        <w:t xml:space="preserve"> 年  月  日</w:t>
      </w:r>
    </w:p>
    <w:tbl>
      <w:tblPr>
        <w:tblStyle w:val="10"/>
        <w:tblW w:w="91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11"/>
        <w:gridCol w:w="1792"/>
        <w:gridCol w:w="1665"/>
        <w:gridCol w:w="1830"/>
        <w:gridCol w:w="2295"/>
      </w:tblGrid>
      <w:tr w14:paraId="7219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14:paraId="4BF7300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建设单位</w:t>
            </w:r>
          </w:p>
        </w:tc>
        <w:tc>
          <w:tcPr>
            <w:tcW w:w="3457" w:type="dxa"/>
            <w:gridSpan w:val="2"/>
            <w:tcBorders>
              <w:top w:val="single" w:color="auto" w:sz="4" w:space="0"/>
              <w:left w:val="single" w:color="auto" w:sz="4" w:space="0"/>
              <w:bottom w:val="single" w:color="auto" w:sz="4" w:space="0"/>
              <w:right w:val="single" w:color="auto" w:sz="4" w:space="0"/>
            </w:tcBorders>
            <w:noWrap/>
            <w:vAlign w:val="center"/>
          </w:tcPr>
          <w:p w14:paraId="642D2E18">
            <w:pPr>
              <w:jc w:val="center"/>
              <w:rPr>
                <w:rFonts w:hint="eastAsia" w:ascii="仿宋" w:hAnsi="仿宋" w:eastAsia="仿宋" w:cs="仿宋"/>
                <w:b/>
                <w:bCs/>
                <w:i w:val="0"/>
                <w:iCs w:val="0"/>
                <w:color w:val="000000"/>
                <w:sz w:val="20"/>
                <w:szCs w:val="20"/>
                <w:u w:val="none"/>
              </w:rPr>
            </w:pPr>
          </w:p>
        </w:tc>
        <w:tc>
          <w:tcPr>
            <w:tcW w:w="1830" w:type="dxa"/>
            <w:tcBorders>
              <w:top w:val="single" w:color="auto" w:sz="4" w:space="0"/>
              <w:left w:val="single" w:color="auto" w:sz="4" w:space="0"/>
              <w:bottom w:val="single" w:color="auto" w:sz="4" w:space="0"/>
              <w:right w:val="single" w:color="auto" w:sz="4" w:space="0"/>
            </w:tcBorders>
            <w:noWrap/>
            <w:vAlign w:val="center"/>
          </w:tcPr>
          <w:p w14:paraId="094230E5">
            <w:pPr>
              <w:keepNext w:val="0"/>
              <w:keepLines w:val="0"/>
              <w:widowControl/>
              <w:suppressLineNumbers w:val="0"/>
              <w:ind w:firstLine="402" w:firstLineChars="200"/>
              <w:jc w:val="both"/>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主管部门</w:t>
            </w:r>
          </w:p>
        </w:tc>
        <w:tc>
          <w:tcPr>
            <w:tcW w:w="2295" w:type="dxa"/>
            <w:tcBorders>
              <w:top w:val="single" w:color="auto" w:sz="4" w:space="0"/>
              <w:left w:val="single" w:color="auto" w:sz="4" w:space="0"/>
              <w:bottom w:val="single" w:color="auto" w:sz="4" w:space="0"/>
              <w:right w:val="single" w:color="auto" w:sz="4" w:space="0"/>
            </w:tcBorders>
            <w:noWrap/>
            <w:vAlign w:val="center"/>
          </w:tcPr>
          <w:p w14:paraId="742DEE29">
            <w:pPr>
              <w:rPr>
                <w:rFonts w:hint="eastAsia" w:ascii="仿宋" w:hAnsi="仿宋" w:eastAsia="仿宋" w:cs="仿宋"/>
                <w:b w:val="0"/>
                <w:bCs w:val="0"/>
                <w:i w:val="0"/>
                <w:iCs w:val="0"/>
                <w:color w:val="000000"/>
                <w:sz w:val="20"/>
                <w:szCs w:val="20"/>
                <w:u w:val="none"/>
              </w:rPr>
            </w:pPr>
          </w:p>
        </w:tc>
      </w:tr>
      <w:tr w14:paraId="4DBE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14:paraId="64D7CDE1">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项目名称</w:t>
            </w:r>
          </w:p>
        </w:tc>
        <w:tc>
          <w:tcPr>
            <w:tcW w:w="3457" w:type="dxa"/>
            <w:gridSpan w:val="2"/>
            <w:tcBorders>
              <w:top w:val="single" w:color="auto" w:sz="4" w:space="0"/>
              <w:left w:val="single" w:color="auto" w:sz="4" w:space="0"/>
              <w:bottom w:val="single" w:color="auto" w:sz="4" w:space="0"/>
              <w:right w:val="single" w:color="auto" w:sz="4" w:space="0"/>
            </w:tcBorders>
            <w:noWrap w:val="0"/>
            <w:vAlign w:val="center"/>
          </w:tcPr>
          <w:p w14:paraId="15960A92">
            <w:pPr>
              <w:jc w:val="center"/>
              <w:rPr>
                <w:rFonts w:hint="eastAsia" w:ascii="仿宋" w:hAnsi="仿宋" w:eastAsia="仿宋" w:cs="仿宋"/>
                <w:b/>
                <w:bCs/>
                <w:i w:val="0"/>
                <w:iCs w:val="0"/>
                <w:color w:val="000000"/>
                <w:sz w:val="20"/>
                <w:szCs w:val="20"/>
                <w:u w:val="none"/>
              </w:rPr>
            </w:pPr>
          </w:p>
        </w:tc>
        <w:tc>
          <w:tcPr>
            <w:tcW w:w="1830" w:type="dxa"/>
            <w:tcBorders>
              <w:top w:val="single" w:color="auto" w:sz="4" w:space="0"/>
              <w:left w:val="single" w:color="auto" w:sz="4" w:space="0"/>
              <w:bottom w:val="single" w:color="auto" w:sz="4" w:space="0"/>
              <w:right w:val="single" w:color="auto" w:sz="4" w:space="0"/>
            </w:tcBorders>
            <w:noWrap/>
            <w:vAlign w:val="center"/>
          </w:tcPr>
          <w:p w14:paraId="7075E70F">
            <w:pPr>
              <w:keepNext w:val="0"/>
              <w:keepLines w:val="0"/>
              <w:widowControl/>
              <w:suppressLineNumbers w:val="0"/>
              <w:jc w:val="center"/>
              <w:textAlignment w:val="center"/>
              <w:rPr>
                <w:rFonts w:hint="default" w:ascii="仿宋" w:hAnsi="仿宋" w:eastAsia="仿宋" w:cs="仿宋"/>
                <w:b/>
                <w:bCs/>
                <w:i w:val="0"/>
                <w:iCs w:val="0"/>
                <w:color w:val="000000"/>
                <w:sz w:val="20"/>
                <w:szCs w:val="20"/>
                <w:u w:val="none"/>
                <w:lang w:val="en-US" w:eastAsia="zh-CN"/>
              </w:rPr>
            </w:pPr>
            <w:r>
              <w:rPr>
                <w:rFonts w:hint="eastAsia" w:ascii="仿宋" w:hAnsi="仿宋" w:eastAsia="仿宋" w:cs="仿宋"/>
                <w:b/>
                <w:bCs/>
                <w:i w:val="0"/>
                <w:iCs w:val="0"/>
                <w:color w:val="000000"/>
                <w:sz w:val="20"/>
                <w:szCs w:val="20"/>
                <w:u w:val="none"/>
                <w:lang w:val="en-US" w:eastAsia="zh-CN"/>
              </w:rPr>
              <w:t>投资估算（万元）</w:t>
            </w:r>
          </w:p>
        </w:tc>
        <w:tc>
          <w:tcPr>
            <w:tcW w:w="2295" w:type="dxa"/>
            <w:tcBorders>
              <w:top w:val="single" w:color="auto" w:sz="4" w:space="0"/>
              <w:left w:val="single" w:color="auto" w:sz="4" w:space="0"/>
              <w:bottom w:val="single" w:color="auto" w:sz="4" w:space="0"/>
              <w:right w:val="single" w:color="auto" w:sz="4" w:space="0"/>
            </w:tcBorders>
            <w:noWrap/>
            <w:vAlign w:val="center"/>
          </w:tcPr>
          <w:p w14:paraId="1AD9BF29">
            <w:pPr>
              <w:jc w:val="center"/>
              <w:rPr>
                <w:rFonts w:hint="eastAsia" w:ascii="仿宋" w:hAnsi="仿宋" w:eastAsia="仿宋" w:cs="仿宋"/>
                <w:b w:val="0"/>
                <w:bCs w:val="0"/>
                <w:i w:val="0"/>
                <w:iCs w:val="0"/>
                <w:color w:val="000000"/>
                <w:sz w:val="20"/>
                <w:szCs w:val="20"/>
                <w:u w:val="none"/>
              </w:rPr>
            </w:pPr>
          </w:p>
        </w:tc>
      </w:tr>
      <w:tr w14:paraId="496F0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11" w:type="dxa"/>
            <w:vMerge w:val="restart"/>
            <w:tcBorders>
              <w:top w:val="single" w:color="auto" w:sz="4" w:space="0"/>
              <w:left w:val="single" w:color="auto" w:sz="4" w:space="0"/>
              <w:bottom w:val="single" w:color="auto" w:sz="4" w:space="0"/>
              <w:right w:val="single" w:color="auto" w:sz="4" w:space="0"/>
            </w:tcBorders>
            <w:noWrap/>
            <w:vAlign w:val="center"/>
          </w:tcPr>
          <w:p w14:paraId="3B893C8E">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产出指标</w:t>
            </w:r>
          </w:p>
        </w:tc>
        <w:tc>
          <w:tcPr>
            <w:tcW w:w="1792" w:type="dxa"/>
            <w:vMerge w:val="restart"/>
            <w:tcBorders>
              <w:top w:val="single" w:color="auto" w:sz="4" w:space="0"/>
              <w:left w:val="single" w:color="auto" w:sz="4" w:space="0"/>
              <w:bottom w:val="single" w:color="auto" w:sz="4" w:space="0"/>
              <w:right w:val="single" w:color="auto" w:sz="4" w:space="0"/>
            </w:tcBorders>
            <w:noWrap/>
            <w:vAlign w:val="center"/>
          </w:tcPr>
          <w:p w14:paraId="4100C17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数量指标</w:t>
            </w:r>
          </w:p>
        </w:tc>
        <w:tc>
          <w:tcPr>
            <w:tcW w:w="3495" w:type="dxa"/>
            <w:gridSpan w:val="2"/>
            <w:tcBorders>
              <w:top w:val="single" w:color="auto" w:sz="4" w:space="0"/>
              <w:left w:val="single" w:color="auto" w:sz="4" w:space="0"/>
              <w:bottom w:val="single" w:color="auto" w:sz="4" w:space="0"/>
              <w:right w:val="nil"/>
            </w:tcBorders>
            <w:noWrap/>
            <w:vAlign w:val="center"/>
          </w:tcPr>
          <w:p w14:paraId="79D7C4A6">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占地面积**平方米</w:t>
            </w:r>
          </w:p>
        </w:tc>
        <w:tc>
          <w:tcPr>
            <w:tcW w:w="2295" w:type="dxa"/>
            <w:tcBorders>
              <w:top w:val="single" w:color="auto" w:sz="4" w:space="0"/>
              <w:left w:val="nil"/>
              <w:bottom w:val="single" w:color="auto" w:sz="4" w:space="0"/>
              <w:right w:val="single" w:color="auto" w:sz="4" w:space="0"/>
            </w:tcBorders>
            <w:noWrap w:val="0"/>
            <w:vAlign w:val="center"/>
          </w:tcPr>
          <w:p w14:paraId="477885F1">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p>
        </w:tc>
      </w:tr>
      <w:tr w14:paraId="2C5AC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7C66254D">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49145CCE">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1C9477C3">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**建筑面积**平方米</w:t>
            </w:r>
          </w:p>
        </w:tc>
        <w:tc>
          <w:tcPr>
            <w:tcW w:w="2295" w:type="dxa"/>
            <w:tcBorders>
              <w:top w:val="single" w:color="auto" w:sz="4" w:space="0"/>
              <w:left w:val="nil"/>
              <w:bottom w:val="single" w:color="auto" w:sz="4" w:space="0"/>
              <w:right w:val="single" w:color="auto" w:sz="4" w:space="0"/>
            </w:tcBorders>
            <w:noWrap/>
            <w:vAlign w:val="center"/>
          </w:tcPr>
          <w:p w14:paraId="5C4CE5E8">
            <w:pPr>
              <w:rPr>
                <w:rFonts w:hint="eastAsia" w:ascii="仿宋" w:hAnsi="仿宋" w:eastAsia="仿宋" w:cs="仿宋"/>
                <w:b w:val="0"/>
                <w:bCs w:val="0"/>
                <w:i w:val="0"/>
                <w:iCs w:val="0"/>
                <w:color w:val="000000"/>
                <w:sz w:val="20"/>
                <w:szCs w:val="20"/>
                <w:u w:val="none"/>
              </w:rPr>
            </w:pPr>
          </w:p>
        </w:tc>
      </w:tr>
      <w:tr w14:paraId="72A9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2E1701B7">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749E8C7D">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04C68ED3">
            <w:pPr>
              <w:rPr>
                <w:rFonts w:hint="default" w:ascii="仿宋" w:hAnsi="仿宋" w:eastAsia="仿宋" w:cs="仿宋"/>
                <w:b w:val="0"/>
                <w:bCs w:val="0"/>
                <w:i w:val="0"/>
                <w:iCs w:val="0"/>
                <w:color w:val="000000"/>
                <w:sz w:val="20"/>
                <w:szCs w:val="20"/>
                <w:u w:val="none"/>
                <w:lang w:val="en-US"/>
              </w:rPr>
            </w:pPr>
            <w:r>
              <w:rPr>
                <w:rFonts w:hint="eastAsia" w:ascii="仿宋" w:hAnsi="仿宋" w:eastAsia="仿宋" w:cs="仿宋"/>
                <w:b w:val="0"/>
                <w:bCs w:val="0"/>
                <w:i w:val="0"/>
                <w:iCs w:val="0"/>
                <w:color w:val="000000"/>
                <w:kern w:val="0"/>
                <w:sz w:val="20"/>
                <w:szCs w:val="20"/>
                <w:u w:val="none"/>
                <w:lang w:val="en-US" w:eastAsia="zh-CN" w:bidi="ar"/>
              </w:rPr>
              <w:t>**设备数量**台</w:t>
            </w:r>
          </w:p>
        </w:tc>
        <w:tc>
          <w:tcPr>
            <w:tcW w:w="2295" w:type="dxa"/>
            <w:tcBorders>
              <w:top w:val="single" w:color="auto" w:sz="4" w:space="0"/>
              <w:left w:val="nil"/>
              <w:bottom w:val="single" w:color="auto" w:sz="4" w:space="0"/>
              <w:right w:val="single" w:color="auto" w:sz="4" w:space="0"/>
            </w:tcBorders>
            <w:noWrap/>
            <w:vAlign w:val="center"/>
          </w:tcPr>
          <w:p w14:paraId="7B418A6E">
            <w:pPr>
              <w:rPr>
                <w:rFonts w:hint="eastAsia" w:ascii="仿宋" w:hAnsi="仿宋" w:eastAsia="仿宋" w:cs="仿宋"/>
                <w:b w:val="0"/>
                <w:bCs w:val="0"/>
                <w:i w:val="0"/>
                <w:iCs w:val="0"/>
                <w:color w:val="000000"/>
                <w:sz w:val="20"/>
                <w:szCs w:val="20"/>
                <w:u w:val="none"/>
              </w:rPr>
            </w:pPr>
          </w:p>
        </w:tc>
      </w:tr>
      <w:tr w14:paraId="7E5D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723D1FDE">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5D29231F">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52F37A82">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14:paraId="3C044742">
            <w:pPr>
              <w:rPr>
                <w:rFonts w:hint="eastAsia" w:ascii="仿宋" w:hAnsi="仿宋" w:eastAsia="仿宋" w:cs="仿宋"/>
                <w:b w:val="0"/>
                <w:bCs w:val="0"/>
                <w:i w:val="0"/>
                <w:iCs w:val="0"/>
                <w:color w:val="000000"/>
                <w:sz w:val="20"/>
                <w:szCs w:val="20"/>
                <w:u w:val="none"/>
              </w:rPr>
            </w:pPr>
          </w:p>
        </w:tc>
      </w:tr>
      <w:tr w14:paraId="2E815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55C9B9DA">
            <w:pPr>
              <w:jc w:val="center"/>
              <w:rPr>
                <w:rFonts w:hint="eastAsia" w:ascii="仿宋" w:hAnsi="仿宋" w:eastAsia="仿宋" w:cs="仿宋"/>
                <w:b/>
                <w:bCs/>
                <w:i w:val="0"/>
                <w:iCs w:val="0"/>
                <w:color w:val="000000"/>
                <w:sz w:val="20"/>
                <w:szCs w:val="20"/>
                <w:u w:val="none"/>
              </w:rPr>
            </w:pPr>
          </w:p>
        </w:tc>
        <w:tc>
          <w:tcPr>
            <w:tcW w:w="1792" w:type="dxa"/>
            <w:vMerge w:val="restart"/>
            <w:tcBorders>
              <w:top w:val="single" w:color="auto" w:sz="4" w:space="0"/>
              <w:left w:val="single" w:color="auto" w:sz="4" w:space="0"/>
              <w:right w:val="single" w:color="auto" w:sz="4" w:space="0"/>
            </w:tcBorders>
            <w:noWrap/>
            <w:vAlign w:val="center"/>
          </w:tcPr>
          <w:p w14:paraId="24AD287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质量指标</w:t>
            </w:r>
          </w:p>
        </w:tc>
        <w:tc>
          <w:tcPr>
            <w:tcW w:w="3495" w:type="dxa"/>
            <w:gridSpan w:val="2"/>
            <w:tcBorders>
              <w:top w:val="single" w:color="auto" w:sz="4" w:space="0"/>
              <w:left w:val="single" w:color="auto" w:sz="4" w:space="0"/>
              <w:bottom w:val="single" w:color="auto" w:sz="4" w:space="0"/>
              <w:right w:val="nil"/>
            </w:tcBorders>
            <w:noWrap w:val="0"/>
            <w:vAlign w:val="center"/>
          </w:tcPr>
          <w:p w14:paraId="78845D6B">
            <w:pPr>
              <w:keepNext w:val="0"/>
              <w:keepLines w:val="0"/>
              <w:widowControl/>
              <w:suppressLineNumbers w:val="0"/>
              <w:jc w:val="left"/>
              <w:textAlignment w:val="center"/>
              <w:rPr>
                <w:rFonts w:hint="default" w:ascii="仿宋" w:hAnsi="仿宋" w:eastAsia="仿宋" w:cs="仿宋"/>
                <w:b w:val="0"/>
                <w:bCs w:val="0"/>
                <w:i w:val="0"/>
                <w:iCs w:val="0"/>
                <w:color w:val="000000"/>
                <w:kern w:val="0"/>
                <w:sz w:val="20"/>
                <w:szCs w:val="20"/>
                <w:u w:val="none"/>
                <w:lang w:val="en-US" w:eastAsia="zh-CN" w:bidi="ar"/>
              </w:rPr>
            </w:pPr>
            <w:r>
              <w:rPr>
                <w:rFonts w:hint="eastAsia" w:ascii="仿宋" w:hAnsi="仿宋" w:eastAsia="仿宋" w:cs="仿宋"/>
                <w:b w:val="0"/>
                <w:bCs w:val="0"/>
                <w:i w:val="0"/>
                <w:iCs w:val="0"/>
                <w:color w:val="000000"/>
                <w:kern w:val="0"/>
                <w:sz w:val="20"/>
                <w:szCs w:val="20"/>
                <w:u w:val="none"/>
                <w:lang w:val="en-US" w:eastAsia="zh-CN" w:bidi="ar"/>
              </w:rPr>
              <w:t>工程质量验收等级为优良</w:t>
            </w:r>
          </w:p>
        </w:tc>
        <w:tc>
          <w:tcPr>
            <w:tcW w:w="2295" w:type="dxa"/>
            <w:tcBorders>
              <w:top w:val="single" w:color="auto" w:sz="4" w:space="0"/>
              <w:left w:val="nil"/>
              <w:bottom w:val="single" w:color="auto" w:sz="4" w:space="0"/>
              <w:right w:val="single" w:color="auto" w:sz="4" w:space="0"/>
            </w:tcBorders>
            <w:noWrap/>
            <w:vAlign w:val="center"/>
          </w:tcPr>
          <w:p w14:paraId="492BA469">
            <w:pPr>
              <w:rPr>
                <w:rFonts w:hint="default" w:ascii="仿宋" w:hAnsi="仿宋" w:eastAsia="仿宋" w:cs="仿宋"/>
                <w:b w:val="0"/>
                <w:bCs w:val="0"/>
                <w:i w:val="0"/>
                <w:iCs w:val="0"/>
                <w:color w:val="000000"/>
                <w:sz w:val="20"/>
                <w:szCs w:val="20"/>
                <w:u w:val="none"/>
                <w:lang w:val="en-US" w:eastAsia="zh-CN"/>
              </w:rPr>
            </w:pPr>
          </w:p>
        </w:tc>
      </w:tr>
      <w:tr w14:paraId="10A59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222CFC1B">
            <w:pPr>
              <w:jc w:val="center"/>
              <w:rPr>
                <w:rFonts w:hint="eastAsia" w:ascii="仿宋" w:hAnsi="仿宋" w:eastAsia="仿宋" w:cs="仿宋"/>
                <w:b/>
                <w:bCs/>
                <w:i w:val="0"/>
                <w:iCs w:val="0"/>
                <w:color w:val="000000"/>
                <w:sz w:val="20"/>
                <w:szCs w:val="20"/>
                <w:u w:val="none"/>
              </w:rPr>
            </w:pPr>
          </w:p>
        </w:tc>
        <w:tc>
          <w:tcPr>
            <w:tcW w:w="1792" w:type="dxa"/>
            <w:vMerge w:val="continue"/>
            <w:tcBorders>
              <w:left w:val="single" w:color="auto" w:sz="4" w:space="0"/>
              <w:right w:val="single" w:color="auto" w:sz="4" w:space="0"/>
            </w:tcBorders>
            <w:noWrap/>
            <w:vAlign w:val="center"/>
          </w:tcPr>
          <w:p w14:paraId="539455B8">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0"/>
            <w:vAlign w:val="center"/>
          </w:tcPr>
          <w:p w14:paraId="147C0A6C">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lang w:val="en-US" w:eastAsia="zh-CN"/>
              </w:rPr>
            </w:pPr>
            <w:r>
              <w:rPr>
                <w:rFonts w:hint="eastAsia" w:ascii="仿宋" w:hAnsi="仿宋" w:eastAsia="仿宋" w:cs="仿宋"/>
                <w:b w:val="0"/>
                <w:bCs w:val="0"/>
                <w:i w:val="0"/>
                <w:iCs w:val="0"/>
                <w:color w:val="000000"/>
                <w:kern w:val="0"/>
                <w:sz w:val="20"/>
                <w:szCs w:val="20"/>
                <w:u w:val="none"/>
                <w:lang w:val="en-US" w:eastAsia="zh-CN" w:bidi="ar"/>
              </w:rPr>
              <w:t>竣工验收合格率100%</w:t>
            </w:r>
          </w:p>
        </w:tc>
        <w:tc>
          <w:tcPr>
            <w:tcW w:w="2295" w:type="dxa"/>
            <w:tcBorders>
              <w:top w:val="single" w:color="auto" w:sz="4" w:space="0"/>
              <w:left w:val="nil"/>
              <w:bottom w:val="single" w:color="auto" w:sz="4" w:space="0"/>
              <w:right w:val="single" w:color="auto" w:sz="4" w:space="0"/>
            </w:tcBorders>
            <w:noWrap/>
            <w:vAlign w:val="center"/>
          </w:tcPr>
          <w:p w14:paraId="3D4E6F71">
            <w:pPr>
              <w:rPr>
                <w:rFonts w:hint="eastAsia" w:ascii="仿宋" w:hAnsi="仿宋" w:eastAsia="仿宋" w:cs="仿宋"/>
                <w:b w:val="0"/>
                <w:bCs w:val="0"/>
                <w:i w:val="0"/>
                <w:iCs w:val="0"/>
                <w:color w:val="000000"/>
                <w:sz w:val="20"/>
                <w:szCs w:val="20"/>
                <w:u w:val="none"/>
              </w:rPr>
            </w:pPr>
          </w:p>
        </w:tc>
      </w:tr>
      <w:tr w14:paraId="23A4D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1FCCFDE4">
            <w:pPr>
              <w:jc w:val="center"/>
              <w:rPr>
                <w:rFonts w:hint="eastAsia" w:ascii="仿宋" w:hAnsi="仿宋" w:eastAsia="仿宋" w:cs="仿宋"/>
                <w:b/>
                <w:bCs/>
                <w:i w:val="0"/>
                <w:iCs w:val="0"/>
                <w:color w:val="000000"/>
                <w:sz w:val="20"/>
                <w:szCs w:val="20"/>
                <w:u w:val="none"/>
              </w:rPr>
            </w:pPr>
          </w:p>
        </w:tc>
        <w:tc>
          <w:tcPr>
            <w:tcW w:w="1792" w:type="dxa"/>
            <w:vMerge w:val="continue"/>
            <w:tcBorders>
              <w:left w:val="single" w:color="auto" w:sz="4" w:space="0"/>
              <w:right w:val="single" w:color="auto" w:sz="4" w:space="0"/>
            </w:tcBorders>
            <w:noWrap/>
            <w:vAlign w:val="center"/>
          </w:tcPr>
          <w:p w14:paraId="64D367A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0"/>
            <w:vAlign w:val="center"/>
          </w:tcPr>
          <w:p w14:paraId="4AE44DAF">
            <w:pPr>
              <w:keepNext w:val="0"/>
              <w:keepLines w:val="0"/>
              <w:widowControl/>
              <w:suppressLineNumbers w:val="0"/>
              <w:jc w:val="left"/>
              <w:textAlignment w:val="center"/>
              <w:rPr>
                <w:rFonts w:hint="default" w:ascii="仿宋" w:hAnsi="仿宋" w:eastAsia="仿宋" w:cs="仿宋"/>
                <w:b w:val="0"/>
                <w:bCs w:val="0"/>
                <w:i w:val="0"/>
                <w:iCs w:val="0"/>
                <w:color w:val="000000"/>
                <w:sz w:val="20"/>
                <w:szCs w:val="20"/>
                <w:u w:val="none"/>
                <w:lang w:val="en-US" w:eastAsia="zh-CN"/>
              </w:rPr>
            </w:pPr>
            <w:r>
              <w:rPr>
                <w:rFonts w:hint="eastAsia" w:ascii="仿宋" w:hAnsi="仿宋" w:eastAsia="仿宋" w:cs="仿宋"/>
                <w:b w:val="0"/>
                <w:bCs w:val="0"/>
                <w:i w:val="0"/>
                <w:iCs w:val="0"/>
                <w:color w:val="000000"/>
                <w:sz w:val="20"/>
                <w:szCs w:val="20"/>
                <w:u w:val="none"/>
                <w:lang w:val="en-US" w:eastAsia="zh-CN"/>
              </w:rPr>
              <w:t>设备质量合格率</w:t>
            </w:r>
            <w:r>
              <w:rPr>
                <w:rFonts w:hint="default" w:ascii="Arial" w:hAnsi="Arial" w:eastAsia="仿宋" w:cs="Arial"/>
                <w:b w:val="0"/>
                <w:bCs w:val="0"/>
                <w:i w:val="0"/>
                <w:iCs w:val="0"/>
                <w:color w:val="000000"/>
                <w:sz w:val="20"/>
                <w:szCs w:val="20"/>
                <w:u w:val="none"/>
                <w:lang w:val="en-US" w:eastAsia="zh-CN"/>
              </w:rPr>
              <w:t>≥</w:t>
            </w:r>
            <w:r>
              <w:rPr>
                <w:rFonts w:hint="eastAsia" w:ascii="仿宋" w:hAnsi="仿宋" w:eastAsia="仿宋" w:cs="仿宋"/>
                <w:b w:val="0"/>
                <w:bCs w:val="0"/>
                <w:i w:val="0"/>
                <w:iCs w:val="0"/>
                <w:color w:val="000000"/>
                <w:sz w:val="20"/>
                <w:szCs w:val="20"/>
                <w:u w:val="none"/>
                <w:lang w:val="en-US" w:eastAsia="zh-CN"/>
              </w:rPr>
              <w:t>*%</w:t>
            </w:r>
          </w:p>
        </w:tc>
        <w:tc>
          <w:tcPr>
            <w:tcW w:w="2295" w:type="dxa"/>
            <w:tcBorders>
              <w:top w:val="single" w:color="auto" w:sz="4" w:space="0"/>
              <w:left w:val="nil"/>
              <w:bottom w:val="single" w:color="auto" w:sz="4" w:space="0"/>
              <w:right w:val="single" w:color="auto" w:sz="4" w:space="0"/>
            </w:tcBorders>
            <w:noWrap/>
            <w:vAlign w:val="center"/>
          </w:tcPr>
          <w:p w14:paraId="7BA462A5">
            <w:pPr>
              <w:rPr>
                <w:rFonts w:hint="eastAsia" w:ascii="仿宋" w:hAnsi="仿宋" w:eastAsia="仿宋" w:cs="仿宋"/>
                <w:b w:val="0"/>
                <w:bCs w:val="0"/>
                <w:i w:val="0"/>
                <w:iCs w:val="0"/>
                <w:color w:val="000000"/>
                <w:sz w:val="20"/>
                <w:szCs w:val="20"/>
                <w:u w:val="none"/>
              </w:rPr>
            </w:pPr>
          </w:p>
        </w:tc>
      </w:tr>
      <w:tr w14:paraId="314C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6D8A5D85">
            <w:pPr>
              <w:jc w:val="center"/>
              <w:rPr>
                <w:rFonts w:hint="eastAsia" w:ascii="仿宋" w:hAnsi="仿宋" w:eastAsia="仿宋" w:cs="仿宋"/>
                <w:b/>
                <w:bCs/>
                <w:i w:val="0"/>
                <w:iCs w:val="0"/>
                <w:color w:val="000000"/>
                <w:sz w:val="20"/>
                <w:szCs w:val="20"/>
                <w:u w:val="none"/>
              </w:rPr>
            </w:pPr>
          </w:p>
        </w:tc>
        <w:tc>
          <w:tcPr>
            <w:tcW w:w="1792" w:type="dxa"/>
            <w:vMerge w:val="continue"/>
            <w:tcBorders>
              <w:left w:val="single" w:color="auto" w:sz="4" w:space="0"/>
              <w:bottom w:val="single" w:color="auto" w:sz="4" w:space="0"/>
              <w:right w:val="single" w:color="auto" w:sz="4" w:space="0"/>
            </w:tcBorders>
            <w:noWrap/>
            <w:vAlign w:val="center"/>
          </w:tcPr>
          <w:p w14:paraId="631C53CD">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1A50D089">
            <w:pPr>
              <w:rPr>
                <w:rFonts w:hint="eastAsia" w:ascii="仿宋" w:hAnsi="仿宋" w:eastAsia="仿宋" w:cs="仿宋"/>
                <w:b w:val="0"/>
                <w:bCs w:val="0"/>
                <w:i w:val="0"/>
                <w:iCs w:val="0"/>
                <w:color w:val="000000"/>
                <w:kern w:val="2"/>
                <w:sz w:val="20"/>
                <w:szCs w:val="20"/>
                <w:u w:val="none"/>
                <w:lang w:val="en-US" w:eastAsia="zh-CN" w:bidi="ar-SA"/>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14:paraId="1607CA95">
            <w:pPr>
              <w:rPr>
                <w:rFonts w:hint="eastAsia" w:ascii="仿宋" w:hAnsi="仿宋" w:eastAsia="仿宋" w:cs="仿宋"/>
                <w:b w:val="0"/>
                <w:bCs w:val="0"/>
                <w:i w:val="0"/>
                <w:iCs w:val="0"/>
                <w:color w:val="000000"/>
                <w:sz w:val="20"/>
                <w:szCs w:val="20"/>
                <w:u w:val="none"/>
              </w:rPr>
            </w:pPr>
          </w:p>
        </w:tc>
      </w:tr>
      <w:tr w14:paraId="46375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56374373">
            <w:pPr>
              <w:jc w:val="center"/>
              <w:rPr>
                <w:rFonts w:hint="eastAsia" w:ascii="仿宋" w:hAnsi="仿宋" w:eastAsia="仿宋" w:cs="仿宋"/>
                <w:b/>
                <w:bCs/>
                <w:i w:val="0"/>
                <w:iCs w:val="0"/>
                <w:color w:val="000000"/>
                <w:sz w:val="20"/>
                <w:szCs w:val="20"/>
                <w:u w:val="none"/>
              </w:rPr>
            </w:pPr>
          </w:p>
        </w:tc>
        <w:tc>
          <w:tcPr>
            <w:tcW w:w="1792" w:type="dxa"/>
            <w:vMerge w:val="restart"/>
            <w:tcBorders>
              <w:top w:val="single" w:color="auto" w:sz="4" w:space="0"/>
              <w:left w:val="single" w:color="auto" w:sz="4" w:space="0"/>
              <w:bottom w:val="single" w:color="auto" w:sz="4" w:space="0"/>
              <w:right w:val="single" w:color="auto" w:sz="4" w:space="0"/>
            </w:tcBorders>
            <w:noWrap/>
            <w:vAlign w:val="center"/>
          </w:tcPr>
          <w:p w14:paraId="3483BC8C">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时效指标</w:t>
            </w:r>
          </w:p>
        </w:tc>
        <w:tc>
          <w:tcPr>
            <w:tcW w:w="3495" w:type="dxa"/>
            <w:gridSpan w:val="2"/>
            <w:tcBorders>
              <w:top w:val="single" w:color="auto" w:sz="4" w:space="0"/>
              <w:left w:val="single" w:color="auto" w:sz="4" w:space="0"/>
              <w:bottom w:val="single" w:color="auto" w:sz="4" w:space="0"/>
              <w:right w:val="nil"/>
            </w:tcBorders>
            <w:noWrap/>
            <w:vAlign w:val="center"/>
          </w:tcPr>
          <w:p w14:paraId="72D717DA">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项目计划开工时间**年**月</w:t>
            </w:r>
          </w:p>
        </w:tc>
        <w:tc>
          <w:tcPr>
            <w:tcW w:w="2295" w:type="dxa"/>
            <w:tcBorders>
              <w:top w:val="single" w:color="auto" w:sz="4" w:space="0"/>
              <w:left w:val="nil"/>
              <w:bottom w:val="single" w:color="auto" w:sz="4" w:space="0"/>
              <w:right w:val="single" w:color="auto" w:sz="4" w:space="0"/>
            </w:tcBorders>
            <w:noWrap/>
            <w:vAlign w:val="center"/>
          </w:tcPr>
          <w:p w14:paraId="337E714D">
            <w:pPr>
              <w:rPr>
                <w:rFonts w:hint="eastAsia" w:ascii="仿宋" w:hAnsi="仿宋" w:eastAsia="仿宋" w:cs="仿宋"/>
                <w:b w:val="0"/>
                <w:bCs w:val="0"/>
                <w:i w:val="0"/>
                <w:iCs w:val="0"/>
                <w:color w:val="000000"/>
                <w:sz w:val="20"/>
                <w:szCs w:val="20"/>
                <w:u w:val="none"/>
              </w:rPr>
            </w:pPr>
          </w:p>
        </w:tc>
      </w:tr>
      <w:tr w14:paraId="5C9A2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41DEE367">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5B714876">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2909369F">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项目计划完工时间**年**月</w:t>
            </w:r>
          </w:p>
        </w:tc>
        <w:tc>
          <w:tcPr>
            <w:tcW w:w="2295" w:type="dxa"/>
            <w:tcBorders>
              <w:top w:val="single" w:color="auto" w:sz="4" w:space="0"/>
              <w:left w:val="nil"/>
              <w:bottom w:val="single" w:color="auto" w:sz="4" w:space="0"/>
              <w:right w:val="single" w:color="auto" w:sz="4" w:space="0"/>
            </w:tcBorders>
            <w:noWrap/>
            <w:vAlign w:val="center"/>
          </w:tcPr>
          <w:p w14:paraId="593C4628">
            <w:pPr>
              <w:rPr>
                <w:rFonts w:hint="eastAsia" w:ascii="仿宋" w:hAnsi="仿宋" w:eastAsia="仿宋" w:cs="仿宋"/>
                <w:b w:val="0"/>
                <w:bCs w:val="0"/>
                <w:i w:val="0"/>
                <w:iCs w:val="0"/>
                <w:color w:val="000000"/>
                <w:sz w:val="20"/>
                <w:szCs w:val="20"/>
                <w:u w:val="none"/>
              </w:rPr>
            </w:pPr>
          </w:p>
        </w:tc>
      </w:tr>
      <w:tr w14:paraId="474E3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650A2046">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2ACB68A5">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5B047C48">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14:paraId="4FB28B73">
            <w:pPr>
              <w:rPr>
                <w:rFonts w:hint="eastAsia" w:ascii="仿宋" w:hAnsi="仿宋" w:eastAsia="仿宋" w:cs="仿宋"/>
                <w:b w:val="0"/>
                <w:bCs w:val="0"/>
                <w:i w:val="0"/>
                <w:iCs w:val="0"/>
                <w:color w:val="000000"/>
                <w:sz w:val="20"/>
                <w:szCs w:val="20"/>
                <w:u w:val="none"/>
              </w:rPr>
            </w:pPr>
          </w:p>
        </w:tc>
      </w:tr>
      <w:tr w14:paraId="47B20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jc w:val="center"/>
        </w:trPr>
        <w:tc>
          <w:tcPr>
            <w:tcW w:w="1611" w:type="dxa"/>
            <w:vMerge w:val="restart"/>
            <w:tcBorders>
              <w:top w:val="single" w:color="auto" w:sz="4" w:space="0"/>
              <w:left w:val="single" w:color="auto" w:sz="4" w:space="0"/>
              <w:bottom w:val="single" w:color="auto" w:sz="4" w:space="0"/>
              <w:right w:val="single" w:color="auto" w:sz="4" w:space="0"/>
            </w:tcBorders>
            <w:noWrap/>
            <w:vAlign w:val="center"/>
          </w:tcPr>
          <w:p w14:paraId="6A59D13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成本指标</w:t>
            </w:r>
          </w:p>
        </w:tc>
        <w:tc>
          <w:tcPr>
            <w:tcW w:w="1792" w:type="dxa"/>
            <w:vMerge w:val="restart"/>
            <w:tcBorders>
              <w:top w:val="single" w:color="auto" w:sz="4" w:space="0"/>
              <w:left w:val="single" w:color="auto" w:sz="4" w:space="0"/>
              <w:bottom w:val="single" w:color="auto" w:sz="4" w:space="0"/>
              <w:right w:val="single" w:color="auto" w:sz="4" w:space="0"/>
            </w:tcBorders>
            <w:noWrap/>
            <w:vAlign w:val="center"/>
          </w:tcPr>
          <w:p w14:paraId="31EEC62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经济成本指标</w:t>
            </w:r>
          </w:p>
        </w:tc>
        <w:tc>
          <w:tcPr>
            <w:tcW w:w="3495" w:type="dxa"/>
            <w:gridSpan w:val="2"/>
            <w:tcBorders>
              <w:top w:val="single" w:color="auto" w:sz="4" w:space="0"/>
              <w:left w:val="single" w:color="auto" w:sz="4" w:space="0"/>
              <w:bottom w:val="single" w:color="auto" w:sz="4" w:space="0"/>
              <w:right w:val="nil"/>
            </w:tcBorders>
            <w:noWrap/>
            <w:vAlign w:val="center"/>
          </w:tcPr>
          <w:p w14:paraId="0410827B">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**总成本≤**万元</w:t>
            </w:r>
          </w:p>
        </w:tc>
        <w:tc>
          <w:tcPr>
            <w:tcW w:w="2295" w:type="dxa"/>
            <w:tcBorders>
              <w:top w:val="single" w:color="auto" w:sz="4" w:space="0"/>
              <w:left w:val="nil"/>
              <w:bottom w:val="single" w:color="auto" w:sz="4" w:space="0"/>
              <w:right w:val="single" w:color="auto" w:sz="4" w:space="0"/>
            </w:tcBorders>
            <w:noWrap/>
            <w:vAlign w:val="center"/>
          </w:tcPr>
          <w:p w14:paraId="613B3070">
            <w:pPr>
              <w:rPr>
                <w:rFonts w:hint="eastAsia" w:ascii="仿宋" w:hAnsi="仿宋" w:eastAsia="仿宋" w:cs="仿宋"/>
                <w:b w:val="0"/>
                <w:bCs w:val="0"/>
                <w:i w:val="0"/>
                <w:iCs w:val="0"/>
                <w:color w:val="000000"/>
                <w:sz w:val="20"/>
                <w:szCs w:val="20"/>
                <w:u w:val="none"/>
              </w:rPr>
            </w:pPr>
          </w:p>
        </w:tc>
      </w:tr>
      <w:tr w14:paraId="516A1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2759ABF1">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3EE91EAD">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5DA96BBF">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**单位成本≤**元/平方米</w:t>
            </w:r>
          </w:p>
        </w:tc>
        <w:tc>
          <w:tcPr>
            <w:tcW w:w="2295" w:type="dxa"/>
            <w:tcBorders>
              <w:top w:val="single" w:color="auto" w:sz="4" w:space="0"/>
              <w:left w:val="nil"/>
              <w:bottom w:val="single" w:color="auto" w:sz="4" w:space="0"/>
              <w:right w:val="single" w:color="auto" w:sz="4" w:space="0"/>
            </w:tcBorders>
            <w:noWrap/>
            <w:vAlign w:val="center"/>
          </w:tcPr>
          <w:p w14:paraId="1B475150">
            <w:pPr>
              <w:rPr>
                <w:rFonts w:hint="eastAsia" w:ascii="仿宋" w:hAnsi="仿宋" w:eastAsia="仿宋" w:cs="仿宋"/>
                <w:b w:val="0"/>
                <w:bCs w:val="0"/>
                <w:i w:val="0"/>
                <w:iCs w:val="0"/>
                <w:color w:val="000000"/>
                <w:sz w:val="20"/>
                <w:szCs w:val="20"/>
                <w:u w:val="none"/>
              </w:rPr>
            </w:pPr>
          </w:p>
        </w:tc>
      </w:tr>
      <w:tr w14:paraId="1A3CF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69E51331">
            <w:pPr>
              <w:jc w:val="center"/>
              <w:rPr>
                <w:rFonts w:hint="eastAsia" w:ascii="仿宋" w:hAnsi="仿宋" w:eastAsia="仿宋" w:cs="仿宋"/>
                <w:b/>
                <w:bCs/>
                <w:i w:val="0"/>
                <w:iCs w:val="0"/>
                <w:color w:val="000000"/>
                <w:sz w:val="20"/>
                <w:szCs w:val="20"/>
                <w:u w:val="none"/>
              </w:rPr>
            </w:pPr>
          </w:p>
        </w:tc>
        <w:tc>
          <w:tcPr>
            <w:tcW w:w="1792" w:type="dxa"/>
            <w:vMerge w:val="continue"/>
            <w:tcBorders>
              <w:top w:val="single" w:color="auto" w:sz="4" w:space="0"/>
              <w:left w:val="single" w:color="auto" w:sz="4" w:space="0"/>
              <w:bottom w:val="single" w:color="auto" w:sz="4" w:space="0"/>
              <w:right w:val="single" w:color="auto" w:sz="4" w:space="0"/>
            </w:tcBorders>
            <w:noWrap/>
            <w:vAlign w:val="center"/>
          </w:tcPr>
          <w:p w14:paraId="7DBAF5F0">
            <w:pPr>
              <w:jc w:val="center"/>
              <w:rPr>
                <w:rFonts w:hint="eastAsia" w:ascii="仿宋" w:hAnsi="仿宋" w:eastAsia="仿宋" w:cs="仿宋"/>
                <w:b/>
                <w:bCs/>
                <w:i w:val="0"/>
                <w:iCs w:val="0"/>
                <w:color w:val="000000"/>
                <w:sz w:val="20"/>
                <w:szCs w:val="20"/>
                <w:u w:val="none"/>
              </w:rPr>
            </w:pPr>
          </w:p>
        </w:tc>
        <w:tc>
          <w:tcPr>
            <w:tcW w:w="3495" w:type="dxa"/>
            <w:gridSpan w:val="2"/>
            <w:tcBorders>
              <w:top w:val="single" w:color="auto" w:sz="4" w:space="0"/>
              <w:left w:val="single" w:color="auto" w:sz="4" w:space="0"/>
              <w:bottom w:val="single" w:color="auto" w:sz="4" w:space="0"/>
              <w:right w:val="nil"/>
            </w:tcBorders>
            <w:noWrap/>
            <w:vAlign w:val="center"/>
          </w:tcPr>
          <w:p w14:paraId="09204616">
            <w:pP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w:t>
            </w:r>
          </w:p>
        </w:tc>
        <w:tc>
          <w:tcPr>
            <w:tcW w:w="2295" w:type="dxa"/>
            <w:tcBorders>
              <w:top w:val="single" w:color="auto" w:sz="4" w:space="0"/>
              <w:left w:val="nil"/>
              <w:bottom w:val="single" w:color="auto" w:sz="4" w:space="0"/>
              <w:right w:val="single" w:color="auto" w:sz="4" w:space="0"/>
            </w:tcBorders>
            <w:noWrap/>
            <w:vAlign w:val="center"/>
          </w:tcPr>
          <w:p w14:paraId="4552E895">
            <w:pPr>
              <w:rPr>
                <w:rFonts w:hint="eastAsia" w:ascii="仿宋" w:hAnsi="仿宋" w:eastAsia="仿宋" w:cs="仿宋"/>
                <w:b w:val="0"/>
                <w:bCs w:val="0"/>
                <w:i w:val="0"/>
                <w:iCs w:val="0"/>
                <w:color w:val="000000"/>
                <w:sz w:val="20"/>
                <w:szCs w:val="20"/>
                <w:u w:val="none"/>
              </w:rPr>
            </w:pPr>
          </w:p>
        </w:tc>
      </w:tr>
      <w:tr w14:paraId="2C764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19741497">
            <w:pPr>
              <w:jc w:val="center"/>
              <w:rPr>
                <w:rFonts w:hint="eastAsia" w:ascii="仿宋" w:hAnsi="仿宋" w:eastAsia="仿宋" w:cs="仿宋"/>
                <w:b/>
                <w:bCs/>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ign w:val="center"/>
          </w:tcPr>
          <w:p w14:paraId="6961689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w:t>
            </w:r>
          </w:p>
        </w:tc>
        <w:tc>
          <w:tcPr>
            <w:tcW w:w="3495" w:type="dxa"/>
            <w:gridSpan w:val="2"/>
            <w:tcBorders>
              <w:top w:val="single" w:color="auto" w:sz="4" w:space="0"/>
              <w:left w:val="single" w:color="auto" w:sz="4" w:space="0"/>
              <w:bottom w:val="single" w:color="auto" w:sz="4" w:space="0"/>
              <w:right w:val="nil"/>
            </w:tcBorders>
            <w:noWrap/>
            <w:vAlign w:val="center"/>
          </w:tcPr>
          <w:p w14:paraId="783712E7">
            <w:pPr>
              <w:rPr>
                <w:rFonts w:hint="eastAsia" w:ascii="仿宋" w:hAnsi="仿宋" w:eastAsia="仿宋" w:cs="仿宋"/>
                <w:b w:val="0"/>
                <w:bCs w:val="0"/>
                <w:i w:val="0"/>
                <w:iCs w:val="0"/>
                <w:color w:val="000000"/>
                <w:sz w:val="20"/>
                <w:szCs w:val="20"/>
                <w:u w:val="none"/>
              </w:rPr>
            </w:pPr>
          </w:p>
        </w:tc>
        <w:tc>
          <w:tcPr>
            <w:tcW w:w="2295" w:type="dxa"/>
            <w:tcBorders>
              <w:top w:val="single" w:color="auto" w:sz="4" w:space="0"/>
              <w:left w:val="nil"/>
              <w:bottom w:val="single" w:color="auto" w:sz="4" w:space="0"/>
              <w:right w:val="single" w:color="auto" w:sz="4" w:space="0"/>
            </w:tcBorders>
            <w:noWrap/>
            <w:vAlign w:val="center"/>
          </w:tcPr>
          <w:p w14:paraId="30FF55B7">
            <w:pPr>
              <w:rPr>
                <w:rFonts w:hint="eastAsia" w:ascii="仿宋" w:hAnsi="仿宋" w:eastAsia="仿宋" w:cs="仿宋"/>
                <w:b w:val="0"/>
                <w:bCs w:val="0"/>
                <w:i w:val="0"/>
                <w:iCs w:val="0"/>
                <w:color w:val="000000"/>
                <w:sz w:val="20"/>
                <w:szCs w:val="20"/>
                <w:u w:val="none"/>
              </w:rPr>
            </w:pPr>
          </w:p>
        </w:tc>
      </w:tr>
      <w:tr w14:paraId="38F1F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1611" w:type="dxa"/>
            <w:vMerge w:val="restart"/>
            <w:tcBorders>
              <w:top w:val="single" w:color="auto" w:sz="4" w:space="0"/>
              <w:left w:val="single" w:color="auto" w:sz="4" w:space="0"/>
              <w:bottom w:val="single" w:color="auto" w:sz="4" w:space="0"/>
              <w:right w:val="single" w:color="auto" w:sz="4" w:space="0"/>
            </w:tcBorders>
            <w:noWrap/>
            <w:vAlign w:val="center"/>
          </w:tcPr>
          <w:p w14:paraId="4FC0D3A6">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效益指标</w:t>
            </w:r>
          </w:p>
        </w:tc>
        <w:tc>
          <w:tcPr>
            <w:tcW w:w="1792" w:type="dxa"/>
            <w:tcBorders>
              <w:top w:val="single" w:color="auto" w:sz="4" w:space="0"/>
              <w:left w:val="single" w:color="auto" w:sz="4" w:space="0"/>
              <w:bottom w:val="single" w:color="auto" w:sz="4" w:space="0"/>
              <w:right w:val="single" w:color="auto" w:sz="4" w:space="0"/>
            </w:tcBorders>
            <w:noWrap w:val="0"/>
            <w:vAlign w:val="center"/>
          </w:tcPr>
          <w:p w14:paraId="74AC50F9">
            <w:pPr>
              <w:keepNext w:val="0"/>
              <w:keepLines w:val="0"/>
              <w:widowControl/>
              <w:suppressLineNumbers w:val="0"/>
              <w:ind w:firstLine="201" w:firstLineChars="10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经济效益指标</w:t>
            </w:r>
          </w:p>
        </w:tc>
        <w:tc>
          <w:tcPr>
            <w:tcW w:w="3495" w:type="dxa"/>
            <w:gridSpan w:val="2"/>
            <w:tcBorders>
              <w:top w:val="single" w:color="auto" w:sz="4" w:space="0"/>
              <w:left w:val="single" w:color="auto" w:sz="4" w:space="0"/>
              <w:bottom w:val="single" w:color="auto" w:sz="4" w:space="0"/>
              <w:right w:val="nil"/>
            </w:tcBorders>
            <w:noWrap w:val="0"/>
            <w:vAlign w:val="center"/>
          </w:tcPr>
          <w:p w14:paraId="48110DCF">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每年增加当地经济收入≥**万元</w:t>
            </w:r>
          </w:p>
        </w:tc>
        <w:tc>
          <w:tcPr>
            <w:tcW w:w="2295" w:type="dxa"/>
            <w:tcBorders>
              <w:top w:val="single" w:color="auto" w:sz="4" w:space="0"/>
              <w:left w:val="nil"/>
              <w:bottom w:val="single" w:color="auto" w:sz="4" w:space="0"/>
              <w:right w:val="single" w:color="auto" w:sz="4" w:space="0"/>
            </w:tcBorders>
            <w:noWrap/>
            <w:vAlign w:val="center"/>
          </w:tcPr>
          <w:p w14:paraId="73AEAA85">
            <w:pPr>
              <w:jc w:val="left"/>
              <w:rPr>
                <w:rFonts w:hint="eastAsia" w:ascii="仿宋" w:hAnsi="仿宋" w:eastAsia="仿宋" w:cs="仿宋"/>
                <w:b w:val="0"/>
                <w:bCs w:val="0"/>
                <w:i w:val="0"/>
                <w:iCs w:val="0"/>
                <w:color w:val="000000"/>
                <w:sz w:val="20"/>
                <w:szCs w:val="20"/>
                <w:u w:val="none"/>
              </w:rPr>
            </w:pPr>
          </w:p>
        </w:tc>
      </w:tr>
      <w:tr w14:paraId="42445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6CA3B03A">
            <w:pPr>
              <w:jc w:val="center"/>
              <w:rPr>
                <w:rFonts w:hint="eastAsia" w:ascii="仿宋" w:hAnsi="仿宋" w:eastAsia="仿宋" w:cs="仿宋"/>
                <w:b w:val="0"/>
                <w:bCs w:val="0"/>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6D1B11B2">
            <w:pPr>
              <w:keepNext w:val="0"/>
              <w:keepLines w:val="0"/>
              <w:widowControl/>
              <w:suppressLineNumbers w:val="0"/>
              <w:ind w:firstLine="201" w:firstLineChars="10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社会效益指标</w:t>
            </w:r>
          </w:p>
        </w:tc>
        <w:tc>
          <w:tcPr>
            <w:tcW w:w="3495" w:type="dxa"/>
            <w:gridSpan w:val="2"/>
            <w:tcBorders>
              <w:top w:val="single" w:color="auto" w:sz="4" w:space="0"/>
              <w:left w:val="single" w:color="auto" w:sz="4" w:space="0"/>
              <w:bottom w:val="single" w:color="auto" w:sz="4" w:space="0"/>
              <w:right w:val="nil"/>
            </w:tcBorders>
            <w:noWrap w:val="0"/>
            <w:vAlign w:val="center"/>
          </w:tcPr>
          <w:p w14:paraId="758325BB">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受益人数≥**人</w:t>
            </w:r>
          </w:p>
        </w:tc>
        <w:tc>
          <w:tcPr>
            <w:tcW w:w="2295" w:type="dxa"/>
            <w:tcBorders>
              <w:top w:val="single" w:color="auto" w:sz="4" w:space="0"/>
              <w:left w:val="nil"/>
              <w:bottom w:val="single" w:color="auto" w:sz="4" w:space="0"/>
              <w:right w:val="single" w:color="auto" w:sz="4" w:space="0"/>
            </w:tcBorders>
            <w:noWrap/>
            <w:vAlign w:val="center"/>
          </w:tcPr>
          <w:p w14:paraId="211BF8FF">
            <w:pPr>
              <w:jc w:val="left"/>
              <w:rPr>
                <w:rFonts w:hint="eastAsia" w:ascii="仿宋" w:hAnsi="仿宋" w:eastAsia="仿宋" w:cs="仿宋"/>
                <w:b w:val="0"/>
                <w:bCs w:val="0"/>
                <w:i w:val="0"/>
                <w:iCs w:val="0"/>
                <w:color w:val="000000"/>
                <w:sz w:val="20"/>
                <w:szCs w:val="20"/>
                <w:u w:val="none"/>
              </w:rPr>
            </w:pPr>
          </w:p>
        </w:tc>
      </w:tr>
      <w:tr w14:paraId="3474F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2B501FDF">
            <w:pPr>
              <w:jc w:val="center"/>
              <w:rPr>
                <w:rFonts w:hint="eastAsia" w:ascii="仿宋" w:hAnsi="仿宋" w:eastAsia="仿宋" w:cs="仿宋"/>
                <w:b w:val="0"/>
                <w:bCs w:val="0"/>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02C40721">
            <w:pPr>
              <w:keepNext w:val="0"/>
              <w:keepLines w:val="0"/>
              <w:widowControl/>
              <w:suppressLineNumbers w:val="0"/>
              <w:ind w:firstLine="201" w:firstLineChars="10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生态效益指标</w:t>
            </w:r>
          </w:p>
        </w:tc>
        <w:tc>
          <w:tcPr>
            <w:tcW w:w="3495" w:type="dxa"/>
            <w:gridSpan w:val="2"/>
            <w:tcBorders>
              <w:top w:val="single" w:color="auto" w:sz="4" w:space="0"/>
              <w:left w:val="single" w:color="auto" w:sz="4" w:space="0"/>
              <w:bottom w:val="single" w:color="auto" w:sz="4" w:space="0"/>
              <w:right w:val="nil"/>
            </w:tcBorders>
            <w:noWrap w:val="0"/>
            <w:vAlign w:val="center"/>
          </w:tcPr>
          <w:p w14:paraId="2492679E">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绿化率占比≥**%</w:t>
            </w:r>
          </w:p>
        </w:tc>
        <w:tc>
          <w:tcPr>
            <w:tcW w:w="2295" w:type="dxa"/>
            <w:tcBorders>
              <w:top w:val="single" w:color="auto" w:sz="4" w:space="0"/>
              <w:left w:val="nil"/>
              <w:bottom w:val="single" w:color="auto" w:sz="4" w:space="0"/>
              <w:right w:val="single" w:color="auto" w:sz="4" w:space="0"/>
            </w:tcBorders>
            <w:noWrap/>
            <w:vAlign w:val="center"/>
          </w:tcPr>
          <w:p w14:paraId="217D8C70">
            <w:pPr>
              <w:jc w:val="left"/>
              <w:rPr>
                <w:rFonts w:hint="eastAsia" w:ascii="仿宋" w:hAnsi="仿宋" w:eastAsia="仿宋" w:cs="仿宋"/>
                <w:b w:val="0"/>
                <w:bCs w:val="0"/>
                <w:i w:val="0"/>
                <w:iCs w:val="0"/>
                <w:color w:val="000000"/>
                <w:sz w:val="20"/>
                <w:szCs w:val="20"/>
                <w:u w:val="none"/>
              </w:rPr>
            </w:pPr>
          </w:p>
        </w:tc>
      </w:tr>
      <w:tr w14:paraId="1BAE5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jc w:val="center"/>
        </w:trPr>
        <w:tc>
          <w:tcPr>
            <w:tcW w:w="1611" w:type="dxa"/>
            <w:vMerge w:val="continue"/>
            <w:tcBorders>
              <w:top w:val="single" w:color="auto" w:sz="4" w:space="0"/>
              <w:left w:val="single" w:color="auto" w:sz="4" w:space="0"/>
              <w:bottom w:val="single" w:color="auto" w:sz="4" w:space="0"/>
              <w:right w:val="single" w:color="auto" w:sz="4" w:space="0"/>
            </w:tcBorders>
            <w:noWrap/>
            <w:vAlign w:val="center"/>
          </w:tcPr>
          <w:p w14:paraId="4A5BAE1F">
            <w:pPr>
              <w:jc w:val="center"/>
              <w:rPr>
                <w:rFonts w:hint="eastAsia" w:ascii="仿宋" w:hAnsi="仿宋" w:eastAsia="仿宋" w:cs="仿宋"/>
                <w:b w:val="0"/>
                <w:bCs w:val="0"/>
                <w:i w:val="0"/>
                <w:iCs w:val="0"/>
                <w:color w:val="000000"/>
                <w:sz w:val="20"/>
                <w:szCs w:val="20"/>
                <w:u w:val="none"/>
              </w:rPr>
            </w:pPr>
          </w:p>
        </w:tc>
        <w:tc>
          <w:tcPr>
            <w:tcW w:w="1792" w:type="dxa"/>
            <w:tcBorders>
              <w:top w:val="single" w:color="auto" w:sz="4" w:space="0"/>
              <w:left w:val="single" w:color="auto" w:sz="4" w:space="0"/>
              <w:bottom w:val="single" w:color="auto" w:sz="4" w:space="0"/>
              <w:right w:val="single" w:color="auto" w:sz="4" w:space="0"/>
            </w:tcBorders>
            <w:noWrap w:val="0"/>
            <w:vAlign w:val="center"/>
          </w:tcPr>
          <w:p w14:paraId="2BF818BA">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可持续影响指标</w:t>
            </w:r>
          </w:p>
        </w:tc>
        <w:tc>
          <w:tcPr>
            <w:tcW w:w="3495" w:type="dxa"/>
            <w:gridSpan w:val="2"/>
            <w:tcBorders>
              <w:top w:val="single" w:color="auto" w:sz="4" w:space="0"/>
              <w:left w:val="single" w:color="auto" w:sz="4" w:space="0"/>
              <w:bottom w:val="single" w:color="auto" w:sz="4" w:space="0"/>
              <w:right w:val="nil"/>
            </w:tcBorders>
            <w:noWrap w:val="0"/>
            <w:vAlign w:val="center"/>
          </w:tcPr>
          <w:p w14:paraId="4D08FE01">
            <w:pPr>
              <w:keepNext w:val="0"/>
              <w:keepLines w:val="0"/>
              <w:widowControl/>
              <w:suppressLineNumbers w:val="0"/>
              <w:jc w:val="left"/>
              <w:textAlignment w:val="center"/>
              <w:rPr>
                <w:rFonts w:hint="eastAsia" w:ascii="仿宋" w:hAnsi="仿宋" w:eastAsia="仿宋" w:cs="仿宋"/>
                <w:b w:val="0"/>
                <w:bCs w:val="0"/>
                <w:i w:val="0"/>
                <w:iCs w:val="0"/>
                <w:color w:val="000000"/>
                <w:sz w:val="20"/>
                <w:szCs w:val="20"/>
                <w:u w:val="none"/>
              </w:rPr>
            </w:pPr>
            <w:r>
              <w:rPr>
                <w:rFonts w:hint="eastAsia" w:ascii="仿宋" w:hAnsi="仿宋" w:eastAsia="仿宋" w:cs="仿宋"/>
                <w:b w:val="0"/>
                <w:bCs w:val="0"/>
                <w:i w:val="0"/>
                <w:iCs w:val="0"/>
                <w:color w:val="000000"/>
                <w:kern w:val="0"/>
                <w:sz w:val="20"/>
                <w:szCs w:val="20"/>
                <w:u w:val="none"/>
                <w:lang w:val="en-US" w:eastAsia="zh-CN" w:bidi="ar"/>
              </w:rPr>
              <w:t>**可持续使用时间≥**年</w:t>
            </w:r>
          </w:p>
        </w:tc>
        <w:tc>
          <w:tcPr>
            <w:tcW w:w="2295" w:type="dxa"/>
            <w:tcBorders>
              <w:top w:val="single" w:color="auto" w:sz="4" w:space="0"/>
              <w:left w:val="nil"/>
              <w:bottom w:val="single" w:color="auto" w:sz="4" w:space="0"/>
              <w:right w:val="single" w:color="auto" w:sz="4" w:space="0"/>
            </w:tcBorders>
            <w:noWrap/>
            <w:vAlign w:val="center"/>
          </w:tcPr>
          <w:p w14:paraId="1D0590B8">
            <w:pPr>
              <w:jc w:val="left"/>
              <w:rPr>
                <w:rFonts w:hint="eastAsia" w:ascii="仿宋" w:hAnsi="仿宋" w:eastAsia="仿宋" w:cs="仿宋"/>
                <w:b w:val="0"/>
                <w:bCs w:val="0"/>
                <w:i w:val="0"/>
                <w:iCs w:val="0"/>
                <w:color w:val="000000"/>
                <w:sz w:val="20"/>
                <w:szCs w:val="20"/>
                <w:u w:val="none"/>
              </w:rPr>
            </w:pPr>
          </w:p>
        </w:tc>
      </w:tr>
      <w:tr w14:paraId="2A3BA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14:paraId="17D4CDD2">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建设单位（章）</w:t>
            </w:r>
          </w:p>
        </w:tc>
        <w:tc>
          <w:tcPr>
            <w:tcW w:w="7582" w:type="dxa"/>
            <w:gridSpan w:val="4"/>
            <w:tcBorders>
              <w:top w:val="single" w:color="auto" w:sz="4" w:space="0"/>
              <w:left w:val="single" w:color="auto" w:sz="4" w:space="0"/>
              <w:bottom w:val="single" w:color="auto" w:sz="4" w:space="0"/>
              <w:right w:val="single" w:color="auto" w:sz="4" w:space="0"/>
            </w:tcBorders>
            <w:noWrap w:val="0"/>
            <w:vAlign w:val="center"/>
          </w:tcPr>
          <w:p w14:paraId="1A1E99D4">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建设单位意见：</w:t>
            </w:r>
          </w:p>
          <w:p w14:paraId="7746B84F">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p>
          <w:p w14:paraId="6701D303">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 xml:space="preserve">                                              负责人签字：</w:t>
            </w:r>
          </w:p>
          <w:p w14:paraId="7E21A898">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                                              年    月   日</w:t>
            </w:r>
          </w:p>
        </w:tc>
      </w:tr>
      <w:tr w14:paraId="2790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8" w:hRule="atLeast"/>
          <w:jc w:val="center"/>
        </w:trPr>
        <w:tc>
          <w:tcPr>
            <w:tcW w:w="1611" w:type="dxa"/>
            <w:tcBorders>
              <w:top w:val="single" w:color="auto" w:sz="4" w:space="0"/>
              <w:left w:val="single" w:color="auto" w:sz="4" w:space="0"/>
              <w:bottom w:val="single" w:color="auto" w:sz="4" w:space="0"/>
              <w:right w:val="single" w:color="auto" w:sz="4" w:space="0"/>
            </w:tcBorders>
            <w:noWrap/>
            <w:vAlign w:val="center"/>
          </w:tcPr>
          <w:p w14:paraId="363560DD">
            <w:pPr>
              <w:keepNext w:val="0"/>
              <w:keepLines w:val="0"/>
              <w:widowControl/>
              <w:suppressLineNumbers w:val="0"/>
              <w:jc w:val="center"/>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主管部门（章）</w:t>
            </w:r>
          </w:p>
        </w:tc>
        <w:tc>
          <w:tcPr>
            <w:tcW w:w="7582" w:type="dxa"/>
            <w:gridSpan w:val="4"/>
            <w:tcBorders>
              <w:top w:val="single" w:color="auto" w:sz="4" w:space="0"/>
              <w:left w:val="single" w:color="auto" w:sz="4" w:space="0"/>
              <w:bottom w:val="single" w:color="auto" w:sz="4" w:space="0"/>
              <w:right w:val="single" w:color="auto" w:sz="4" w:space="0"/>
            </w:tcBorders>
            <w:noWrap w:val="0"/>
            <w:vAlign w:val="center"/>
          </w:tcPr>
          <w:p w14:paraId="3230BB9A">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主管部门意见：</w:t>
            </w:r>
          </w:p>
          <w:p w14:paraId="60918B59">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p>
          <w:p w14:paraId="1E520CAF">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 xml:space="preserve">                                              负责人签字：</w:t>
            </w:r>
          </w:p>
          <w:p w14:paraId="126BCAB3">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                                              年    月   日</w:t>
            </w:r>
          </w:p>
        </w:tc>
      </w:tr>
      <w:tr w14:paraId="76B0D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1611" w:type="dxa"/>
            <w:tcBorders>
              <w:top w:val="single" w:color="auto" w:sz="4" w:space="0"/>
              <w:left w:val="single" w:color="auto" w:sz="4" w:space="0"/>
              <w:bottom w:val="single" w:color="auto" w:sz="4" w:space="0"/>
              <w:right w:val="single" w:color="auto" w:sz="4" w:space="0"/>
            </w:tcBorders>
            <w:noWrap w:val="0"/>
            <w:vAlign w:val="center"/>
          </w:tcPr>
          <w:p w14:paraId="72C2C923">
            <w:pPr>
              <w:keepNext w:val="0"/>
              <w:keepLines w:val="0"/>
              <w:widowControl/>
              <w:suppressLineNumbers w:val="0"/>
              <w:jc w:val="both"/>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县政府</w:t>
            </w:r>
          </w:p>
        </w:tc>
        <w:tc>
          <w:tcPr>
            <w:tcW w:w="7582" w:type="dxa"/>
            <w:gridSpan w:val="4"/>
            <w:tcBorders>
              <w:top w:val="single" w:color="auto" w:sz="4" w:space="0"/>
              <w:left w:val="single" w:color="auto" w:sz="4" w:space="0"/>
              <w:bottom w:val="single" w:color="auto" w:sz="4" w:space="0"/>
              <w:right w:val="single" w:color="auto" w:sz="4" w:space="0"/>
            </w:tcBorders>
            <w:noWrap w:val="0"/>
            <w:vAlign w:val="center"/>
          </w:tcPr>
          <w:p w14:paraId="19664CD1">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县政府意见：</w:t>
            </w:r>
          </w:p>
          <w:p w14:paraId="3416811A">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p>
          <w:p w14:paraId="416723F9">
            <w:pPr>
              <w:keepNext w:val="0"/>
              <w:keepLines w:val="0"/>
              <w:widowControl/>
              <w:suppressLineNumbers w:val="0"/>
              <w:jc w:val="left"/>
              <w:textAlignment w:val="center"/>
              <w:rPr>
                <w:rFonts w:hint="eastAsia" w:ascii="仿宋" w:hAnsi="仿宋" w:eastAsia="仿宋" w:cs="仿宋"/>
                <w:b/>
                <w:bCs/>
                <w:i w:val="0"/>
                <w:iCs w:val="0"/>
                <w:color w:val="000000"/>
                <w:kern w:val="0"/>
                <w:sz w:val="20"/>
                <w:szCs w:val="20"/>
                <w:u w:val="none"/>
                <w:lang w:val="en-US" w:eastAsia="zh-CN" w:bidi="ar"/>
              </w:rPr>
            </w:pPr>
            <w:r>
              <w:rPr>
                <w:rFonts w:hint="eastAsia" w:ascii="仿宋" w:hAnsi="仿宋" w:eastAsia="仿宋" w:cs="仿宋"/>
                <w:b/>
                <w:bCs/>
                <w:i w:val="0"/>
                <w:iCs w:val="0"/>
                <w:color w:val="000000"/>
                <w:kern w:val="0"/>
                <w:sz w:val="20"/>
                <w:szCs w:val="20"/>
                <w:u w:val="none"/>
                <w:lang w:val="en-US" w:eastAsia="zh-CN" w:bidi="ar"/>
              </w:rPr>
              <w:t xml:space="preserve">                                              负责人签字：</w:t>
            </w:r>
          </w:p>
          <w:p w14:paraId="2E8CE273">
            <w:pPr>
              <w:keepNext w:val="0"/>
              <w:keepLines w:val="0"/>
              <w:widowControl/>
              <w:suppressLineNumbers w:val="0"/>
              <w:jc w:val="left"/>
              <w:textAlignment w:val="center"/>
              <w:rPr>
                <w:rFonts w:hint="eastAsia" w:ascii="仿宋" w:hAnsi="仿宋" w:eastAsia="仿宋" w:cs="仿宋"/>
                <w:b/>
                <w:bCs/>
                <w:i w:val="0"/>
                <w:iCs w:val="0"/>
                <w:color w:val="000000"/>
                <w:sz w:val="20"/>
                <w:szCs w:val="20"/>
                <w:u w:val="none"/>
              </w:rPr>
            </w:pPr>
            <w:r>
              <w:rPr>
                <w:rFonts w:hint="eastAsia" w:ascii="仿宋" w:hAnsi="仿宋" w:eastAsia="仿宋" w:cs="仿宋"/>
                <w:b/>
                <w:bCs/>
                <w:i w:val="0"/>
                <w:iCs w:val="0"/>
                <w:color w:val="000000"/>
                <w:kern w:val="0"/>
                <w:sz w:val="20"/>
                <w:szCs w:val="20"/>
                <w:u w:val="none"/>
                <w:lang w:val="en-US" w:eastAsia="zh-CN" w:bidi="ar"/>
              </w:rPr>
              <w:t xml:space="preserve">                                              年   月    日</w:t>
            </w:r>
          </w:p>
        </w:tc>
      </w:tr>
      <w:tr w14:paraId="07B3C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jc w:val="center"/>
        </w:trPr>
        <w:tc>
          <w:tcPr>
            <w:tcW w:w="9193" w:type="dxa"/>
            <w:gridSpan w:val="5"/>
            <w:tcBorders>
              <w:top w:val="single" w:color="auto" w:sz="4" w:space="0"/>
              <w:left w:val="nil"/>
              <w:bottom w:val="nil"/>
              <w:right w:val="nil"/>
            </w:tcBorders>
            <w:noWrap/>
            <w:vAlign w:val="center"/>
          </w:tcPr>
          <w:p w14:paraId="3079844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1、建设单位、主管部门要对填写内容真实性负责。</w:t>
            </w:r>
          </w:p>
        </w:tc>
      </w:tr>
      <w:tr w14:paraId="4E17F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9193" w:type="dxa"/>
            <w:gridSpan w:val="5"/>
            <w:tcBorders>
              <w:top w:val="nil"/>
              <w:left w:val="nil"/>
              <w:bottom w:val="nil"/>
              <w:right w:val="nil"/>
            </w:tcBorders>
            <w:noWrap w:val="0"/>
            <w:vAlign w:val="center"/>
          </w:tcPr>
          <w:p w14:paraId="03EEC32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2、此表一式五份，建设单位一份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主管部门一份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县政府办公室一份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财政部门一份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县发改部门一份。</w:t>
            </w:r>
          </w:p>
        </w:tc>
      </w:tr>
    </w:tbl>
    <w:p w14:paraId="30FC76AB">
      <w:pPr>
        <w:pStyle w:val="2"/>
        <w:rPr>
          <w:rFonts w:hint="eastAsia"/>
        </w:rPr>
      </w:pPr>
    </w:p>
    <w:p w14:paraId="269C5357">
      <w:pPr>
        <w:rPr>
          <w:rFonts w:hint="eastAsia"/>
        </w:rPr>
      </w:pPr>
    </w:p>
    <w:p w14:paraId="3CECA34D">
      <w:pPr>
        <w:pStyle w:val="9"/>
        <w:rPr>
          <w:rFonts w:hint="eastAsia"/>
        </w:rPr>
      </w:pPr>
    </w:p>
    <w:p w14:paraId="3D309F6F">
      <w:pPr>
        <w:pStyle w:val="9"/>
        <w:rPr>
          <w:rFonts w:hint="eastAsia"/>
        </w:rPr>
      </w:pPr>
    </w:p>
    <w:p w14:paraId="39C89D71">
      <w:pPr>
        <w:pStyle w:val="9"/>
        <w:rPr>
          <w:rFonts w:hint="eastAsia"/>
        </w:rPr>
      </w:pPr>
    </w:p>
    <w:p w14:paraId="1B7F4F06">
      <w:pPr>
        <w:pStyle w:val="9"/>
        <w:rPr>
          <w:rFonts w:hint="eastAsia"/>
        </w:rPr>
      </w:pPr>
    </w:p>
    <w:p w14:paraId="102915C6">
      <w:pPr>
        <w:pStyle w:val="9"/>
        <w:rPr>
          <w:rFonts w:hint="eastAsia"/>
        </w:rPr>
      </w:pPr>
    </w:p>
    <w:p w14:paraId="2C203F56">
      <w:pPr>
        <w:pStyle w:val="9"/>
        <w:rPr>
          <w:rFonts w:hint="eastAsia"/>
        </w:rPr>
      </w:pPr>
    </w:p>
    <w:p w14:paraId="4161471A">
      <w:pPr>
        <w:pStyle w:val="9"/>
        <w:rPr>
          <w:rFonts w:hint="eastAsia"/>
        </w:rPr>
      </w:pPr>
    </w:p>
    <w:p w14:paraId="630D1485">
      <w:pPr>
        <w:pStyle w:val="9"/>
        <w:rPr>
          <w:rFonts w:hint="eastAsia"/>
        </w:rPr>
      </w:pPr>
    </w:p>
    <w:p w14:paraId="2AC199CE">
      <w:pPr>
        <w:pStyle w:val="9"/>
        <w:rPr>
          <w:rFonts w:hint="eastAsia"/>
        </w:rPr>
      </w:pPr>
    </w:p>
    <w:p w14:paraId="3562D8C4">
      <w:pPr>
        <w:pStyle w:val="9"/>
        <w:rPr>
          <w:rFonts w:hint="eastAsia"/>
        </w:rPr>
      </w:pPr>
    </w:p>
    <w:p w14:paraId="1FDDD675">
      <w:pPr>
        <w:pStyle w:val="9"/>
        <w:rPr>
          <w:rFonts w:hint="eastAsia"/>
        </w:rPr>
      </w:pPr>
    </w:p>
    <w:p w14:paraId="250F319E">
      <w:pPr>
        <w:pStyle w:val="9"/>
        <w:rPr>
          <w:rFonts w:hint="eastAsia"/>
        </w:rPr>
      </w:pPr>
    </w:p>
    <w:p w14:paraId="0D727197">
      <w:pPr>
        <w:pStyle w:val="9"/>
        <w:rPr>
          <w:rFonts w:hint="eastAsia"/>
        </w:rPr>
      </w:pPr>
    </w:p>
    <w:p w14:paraId="5790682E">
      <w:pPr>
        <w:pStyle w:val="9"/>
        <w:rPr>
          <w:rFonts w:hint="eastAsia"/>
        </w:rPr>
      </w:pPr>
    </w:p>
    <w:p w14:paraId="383B7457">
      <w:pPr>
        <w:pStyle w:val="9"/>
        <w:rPr>
          <w:rFonts w:hint="eastAsia"/>
        </w:rPr>
      </w:pPr>
    </w:p>
    <w:p w14:paraId="5DEDF76E">
      <w:pPr>
        <w:pStyle w:val="9"/>
        <w:rPr>
          <w:rFonts w:hint="eastAsia"/>
        </w:rPr>
      </w:pPr>
    </w:p>
    <w:p w14:paraId="1BB1899E">
      <w:pPr>
        <w:pStyle w:val="9"/>
        <w:rPr>
          <w:rFonts w:hint="eastAsia"/>
        </w:rPr>
      </w:pPr>
    </w:p>
    <w:p w14:paraId="0680A9F6">
      <w:pPr>
        <w:pStyle w:val="9"/>
        <w:rPr>
          <w:rFonts w:hint="eastAsia"/>
        </w:rPr>
      </w:pPr>
    </w:p>
    <w:p w14:paraId="5C7D0B82">
      <w:pPr>
        <w:pStyle w:val="9"/>
        <w:rPr>
          <w:rFonts w:hint="eastAsia"/>
        </w:rPr>
      </w:pPr>
    </w:p>
    <w:p w14:paraId="23D00E33">
      <w:pPr>
        <w:pStyle w:val="9"/>
        <w:rPr>
          <w:rFonts w:hint="eastAsia"/>
        </w:rPr>
      </w:pPr>
    </w:p>
    <w:p w14:paraId="796E4294">
      <w:pPr>
        <w:pStyle w:val="9"/>
        <w:keepNext w:val="0"/>
        <w:keepLines w:val="0"/>
        <w:pageBreakBefore w:val="0"/>
        <w:widowControl w:val="0"/>
        <w:kinsoku/>
        <w:wordWrap/>
        <w:overflowPunct/>
        <w:topLinePunct w:val="0"/>
        <w:autoSpaceDE/>
        <w:autoSpaceDN/>
        <w:bidi w:val="0"/>
        <w:adjustRightInd w:val="0"/>
        <w:snapToGrid w:val="0"/>
        <w:spacing w:before="313" w:beforeLines="100"/>
        <w:textAlignment w:val="auto"/>
        <w:rPr>
          <w:rFonts w:hint="eastAsia"/>
        </w:rPr>
      </w:pPr>
    </w:p>
    <w:p w14:paraId="13332D7D">
      <w:pPr>
        <w:rPr>
          <w:rFonts w:hint="eastAsia"/>
        </w:rPr>
      </w:pPr>
    </w:p>
    <w:p w14:paraId="00A84077">
      <w:pPr>
        <w:rPr>
          <w:rFonts w:hint="eastAsia"/>
        </w:rPr>
      </w:pPr>
    </w:p>
    <w:p w14:paraId="5EEB2EA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36"/>
          <w:szCs w:val="36"/>
        </w:rPr>
      </w:pPr>
    </w:p>
    <w:p w14:paraId="76E8F7D7">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68480"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86" name="直接连接符 86"/>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68480;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CPRSztIAAAAFAQAADwAAAAAAAAABACAAAAAiAAAAZHJzL2Rvd25yZXYueG1sUEsB&#10;AhQAFAAAAAgAh07iQG/bQCr7AQAA9gMAAA4AAAAAAAAAAQAgAAAAIQEAAGRycy9lMm9Eb2MueG1s&#10;UEsFBgAAAAAGAAYAWQEAAI4FA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冠县人民政府办公室              2025年 月 日印发</w:t>
      </w:r>
    </w:p>
    <w:p w14:paraId="136A528D">
      <w:pPr>
        <w:pStyle w:val="9"/>
        <w:keepNext w:val="0"/>
        <w:keepLines w:val="0"/>
        <w:pageBreakBefore w:val="0"/>
        <w:widowControl w:val="0"/>
        <w:kinsoku/>
        <w:overflowPunct/>
        <w:topLinePunct w:val="0"/>
        <w:autoSpaceDE/>
        <w:autoSpaceDN/>
        <w:bidi w:val="0"/>
        <w:spacing w:line="600" w:lineRule="exact"/>
        <w:ind w:left="0" w:leftChars="0" w:firstLine="0" w:firstLineChars="0"/>
        <w:jc w:val="right"/>
        <w:textAlignment w:val="auto"/>
        <w:rPr>
          <w:rFonts w:hint="eastAsia" w:ascii="仿宋_GB2312" w:hAnsi="仿宋_GB2312" w:eastAsia="仿宋_GB2312" w:cs="仿宋_GB2312"/>
          <w:sz w:val="32"/>
          <w:szCs w:val="32"/>
        </w:rPr>
      </w:pPr>
      <w:r>
        <w:rPr>
          <w:color w:val="000000"/>
          <w:lang w:eastAsia="zh-CN"/>
        </w:rPr>
        <mc:AlternateContent>
          <mc:Choice Requires="wps">
            <w:drawing>
              <wp:anchor distT="0" distB="0" distL="114300" distR="114300" simplePos="0" relativeHeight="251669504"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87" name="直接连接符 87"/>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9504;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M/ZtNEAAAAEAQAADwAAAAAAAAABACAAAAAiAAAAZHJzL2Rvd25yZXYueG1sUEsB&#10;AhQAFAAAAAgAh07iQOnDHJ78AQAA9gMAAA4AAAAAAAAAAQAgAAAAIAEAAGRycy9lMm9Eb2MueG1s&#10;UEsFBgAAAAAGAAYAWQEAAI4FA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30</w:t>
      </w:r>
      <w:r>
        <w:rPr>
          <w:rFonts w:hint="eastAsia" w:ascii="仿宋_GB2312" w:hAnsi="仿宋_GB2312" w:eastAsia="仿宋_GB2312" w:cs="仿宋_GB2312"/>
          <w:b w:val="0"/>
          <w:color w:val="000000"/>
          <w:sz w:val="32"/>
          <w:szCs w:val="32"/>
          <w:lang w:eastAsia="zh-CN"/>
        </w:rPr>
        <w:t>份）</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2010601030101010101"/>
    <w:charset w:val="86"/>
    <w:family w:val="auto"/>
    <w:pitch w:val="default"/>
    <w:sig w:usb0="00000000" w:usb1="00000000" w:usb2="00000000" w:usb3="00000000" w:csb0="00040000" w:csb1="00000000"/>
  </w:font>
  <w:font w:name="方正书宋_GBK">
    <w:altName w:val="微软雅黑"/>
    <w:panose1 w:val="02000000000000000000"/>
    <w:charset w:val="86"/>
    <w:family w:val="auto"/>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黑体fal">
    <w:altName w:val="黑体"/>
    <w:panose1 w:val="00000000000000000000"/>
    <w:charset w:val="86"/>
    <w:family w:val="auto"/>
    <w:pitch w:val="default"/>
    <w:sig w:usb0="00000000" w:usb1="00000000" w:usb2="00000010" w:usb3="00000000" w:csb0="00040000" w:csb1="00000000"/>
  </w:font>
  <w:font w:name="方正黑体_GBK">
    <w:altName w:val="微软雅黑"/>
    <w:panose1 w:val="02000000000000000000"/>
    <w:charset w:val="86"/>
    <w:family w:val="auto"/>
    <w:pitch w:val="default"/>
    <w:sig w:usb0="00000000" w:usb1="00000000"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5EB7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0BBBB7">
                          <w:pPr>
                            <w:pStyle w:val="6"/>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0BBBB7">
                    <w:pPr>
                      <w:pStyle w:val="6"/>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MDIxODUxZjAzNTk4Yjc2NzUzOWEzMjM4YWIzMGUifQ=="/>
  </w:docVars>
  <w:rsids>
    <w:rsidRoot w:val="4D782BEA"/>
    <w:rsid w:val="00C82899"/>
    <w:rsid w:val="05031C1C"/>
    <w:rsid w:val="062734A4"/>
    <w:rsid w:val="076D3A78"/>
    <w:rsid w:val="096E1F81"/>
    <w:rsid w:val="0BE1484B"/>
    <w:rsid w:val="0C2C7CAB"/>
    <w:rsid w:val="0C564D28"/>
    <w:rsid w:val="0D254D4E"/>
    <w:rsid w:val="0E2A646C"/>
    <w:rsid w:val="10B06F4A"/>
    <w:rsid w:val="12EF37E0"/>
    <w:rsid w:val="162B00EE"/>
    <w:rsid w:val="167F4E7B"/>
    <w:rsid w:val="17604CAC"/>
    <w:rsid w:val="1ADC6D40"/>
    <w:rsid w:val="1FBF6B56"/>
    <w:rsid w:val="214F5272"/>
    <w:rsid w:val="21853F91"/>
    <w:rsid w:val="21D00C60"/>
    <w:rsid w:val="22D402FC"/>
    <w:rsid w:val="22DF73CD"/>
    <w:rsid w:val="237044C9"/>
    <w:rsid w:val="256516E0"/>
    <w:rsid w:val="270F224B"/>
    <w:rsid w:val="272B789D"/>
    <w:rsid w:val="275639D6"/>
    <w:rsid w:val="277836A9"/>
    <w:rsid w:val="284B6FA9"/>
    <w:rsid w:val="28942A08"/>
    <w:rsid w:val="2DB651CE"/>
    <w:rsid w:val="2DDD77B7"/>
    <w:rsid w:val="2E0A6373"/>
    <w:rsid w:val="2EC61441"/>
    <w:rsid w:val="304A1949"/>
    <w:rsid w:val="307B215B"/>
    <w:rsid w:val="30A27C8C"/>
    <w:rsid w:val="31DE4CF4"/>
    <w:rsid w:val="33335ECD"/>
    <w:rsid w:val="33D57010"/>
    <w:rsid w:val="342F1837"/>
    <w:rsid w:val="347B4A7C"/>
    <w:rsid w:val="34D67F56"/>
    <w:rsid w:val="377F4883"/>
    <w:rsid w:val="380A05F1"/>
    <w:rsid w:val="38FE3106"/>
    <w:rsid w:val="395B24A5"/>
    <w:rsid w:val="3B2B4C55"/>
    <w:rsid w:val="3BBA40DC"/>
    <w:rsid w:val="3BD72EE0"/>
    <w:rsid w:val="3C756255"/>
    <w:rsid w:val="3D711112"/>
    <w:rsid w:val="3F450160"/>
    <w:rsid w:val="41D05678"/>
    <w:rsid w:val="41E00614"/>
    <w:rsid w:val="41E225DE"/>
    <w:rsid w:val="429531AD"/>
    <w:rsid w:val="429A4C67"/>
    <w:rsid w:val="452E1696"/>
    <w:rsid w:val="48F21359"/>
    <w:rsid w:val="4CC748AA"/>
    <w:rsid w:val="4D782BEA"/>
    <w:rsid w:val="4E8D5680"/>
    <w:rsid w:val="4F5D32A4"/>
    <w:rsid w:val="538C6AE1"/>
    <w:rsid w:val="539A4AC7"/>
    <w:rsid w:val="549B1CB0"/>
    <w:rsid w:val="568B7A33"/>
    <w:rsid w:val="57F650A3"/>
    <w:rsid w:val="5945230D"/>
    <w:rsid w:val="5AE14D89"/>
    <w:rsid w:val="5EDA66BF"/>
    <w:rsid w:val="5F7E1C75"/>
    <w:rsid w:val="606E5D11"/>
    <w:rsid w:val="61E10957"/>
    <w:rsid w:val="63041F5D"/>
    <w:rsid w:val="65057D75"/>
    <w:rsid w:val="6A3D5D54"/>
    <w:rsid w:val="6B080110"/>
    <w:rsid w:val="6BDF3567"/>
    <w:rsid w:val="6BFD1C3F"/>
    <w:rsid w:val="6D3E250F"/>
    <w:rsid w:val="6DAE27C4"/>
    <w:rsid w:val="725553C2"/>
    <w:rsid w:val="73B70925"/>
    <w:rsid w:val="73F751C6"/>
    <w:rsid w:val="740A314B"/>
    <w:rsid w:val="75000B32"/>
    <w:rsid w:val="77170A6A"/>
    <w:rsid w:val="774B1F97"/>
    <w:rsid w:val="77E9454A"/>
    <w:rsid w:val="78341CEA"/>
    <w:rsid w:val="7915777E"/>
    <w:rsid w:val="7A7876B3"/>
    <w:rsid w:val="7BCB31C0"/>
    <w:rsid w:val="7D713682"/>
    <w:rsid w:val="F5F7C0C3"/>
    <w:rsid w:val="F7FBB167"/>
    <w:rsid w:val="FFEF24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jc w:val="left"/>
      <w:outlineLvl w:val="2"/>
    </w:pPr>
    <w:rPr>
      <w:rFonts w:hint="eastAsia" w:ascii="宋体" w:hAnsi="宋体" w:cs="宋体"/>
      <w:b/>
      <w:sz w:val="27"/>
      <w:szCs w:val="27"/>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widowControl w:val="0"/>
      <w:ind w:firstLine="420" w:firstLineChars="200"/>
      <w:jc w:val="both"/>
    </w:pPr>
    <w:rPr>
      <w:rFonts w:ascii="Calibri" w:hAnsi="Calibri" w:eastAsia="宋体" w:cs="Times New Roman"/>
      <w:kern w:val="2"/>
      <w:sz w:val="21"/>
      <w:szCs w:val="24"/>
      <w:lang w:val="en-US" w:eastAsia="zh-CN" w:bidi="ar-SA"/>
    </w:rPr>
  </w:style>
  <w:style w:type="paragraph" w:styleId="4">
    <w:name w:val="Body Text Indent"/>
    <w:basedOn w:val="1"/>
    <w:next w:val="3"/>
    <w:qFormat/>
    <w:uiPriority w:val="0"/>
    <w:pPr>
      <w:adjustRightInd w:val="0"/>
      <w:snapToGrid w:val="0"/>
      <w:spacing w:line="300" w:lineRule="auto"/>
      <w:ind w:firstLine="640" w:firstLineChars="200"/>
    </w:pPr>
    <w:rPr>
      <w:rFonts w:ascii="Times New Roman" w:hAnsi="Times New Roman" w:eastAsia="华文仿宋"/>
      <w:sz w:val="32"/>
      <w:szCs w:val="32"/>
    </w:rPr>
  </w:style>
  <w:style w:type="paragraph" w:styleId="5">
    <w:name w:val="Plain Text"/>
    <w:basedOn w:val="1"/>
    <w:semiHidden/>
    <w:unhideWhenUsed/>
    <w:qFormat/>
    <w:uiPriority w:val="0"/>
    <w:rPr>
      <w:rFonts w:ascii="宋体" w:hAnsi="Courier New" w:eastAsia="宋体"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qFormat/>
    <w:uiPriority w:val="0"/>
    <w:pPr>
      <w:ind w:firstLine="420" w:firstLineChars="200"/>
    </w:p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FFFFFF"/>
        </a:solidFill>
        <a:ln w="9525" cap="flat" cmpd="sng">
          <a:solidFill>
            <a:srgbClr val="000000"/>
          </a:solidFill>
          <a:prstDash val="solid"/>
          <a:miter/>
          <a:headEnd type="none" w="med" len="med"/>
          <a:tailEnd type="none" w="med" len="med"/>
        </a:ln>
      </a:spPr>
      <a:bodyPr lIns="91440" tIns="118800" rIns="91440" bIns="45720" upright="1"/>
      <a:lst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3698</Words>
  <Characters>3739</Characters>
  <Lines>0</Lines>
  <Paragraphs>0</Paragraphs>
  <TotalTime>85</TotalTime>
  <ScaleCrop>false</ScaleCrop>
  <LinksUpToDate>false</LinksUpToDate>
  <CharactersWithSpaces>3768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2023-12-30T01:01:00Z</dcterms:created>
  <dc:creator>皓雪</dc:creator>
  <cp:lastModifiedBy>cookie</cp:lastModifiedBy>
  <cp:lastPrinted>2023-12-30T19:38:00Z</cp:lastPrinted>
  <dcterms:modified xsi:type="dcterms:W3CDTF">2025-05-15T08:27:41Z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BCA48BB02CD94725ABF4905B28B5AC09_11</vt:lpwstr>
  </property>
  <property fmtid="{D5CDD505-2E9C-101B-9397-08002B2CF9AE}" pid="4" name="KSOTemplateDocerSaveRecord">
    <vt:lpwstr>eyJoZGlkIjoiYmFiYzI2MWM0NWFiMWQ2ODljYjk4YzY5MTQxZGNlN2IiLCJ1c2VySWQiOiI0MjIyMzUzNjYifQ==</vt:lpwstr>
  </property>
</Properties>
</file>