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CESI小标宋-GB2312" w:hAnsi="CESI小标宋-GB2312" w:eastAsia="CESI小标宋-GB2312" w:cs="CESI小标宋-GB2312"/>
          <w:sz w:val="44"/>
          <w:szCs w:val="44"/>
          <w:lang w:val="en-US" w:eastAsia="zh-CN"/>
        </w:rPr>
      </w:pPr>
      <w:r>
        <w:rPr>
          <w:rFonts w:hint="eastAsia" w:ascii="CESI小标宋-GB2312" w:hAnsi="CESI小标宋-GB2312" w:eastAsia="CESI小标宋-GB2312" w:cs="CESI小标宋-GB2312"/>
          <w:sz w:val="44"/>
          <w:szCs w:val="44"/>
          <w:lang w:eastAsia="zh-CN"/>
        </w:rPr>
        <w:t>冠县</w:t>
      </w:r>
      <w:r>
        <w:rPr>
          <w:rFonts w:hint="eastAsia" w:ascii="CESI小标宋-GB2312" w:hAnsi="CESI小标宋-GB2312" w:eastAsia="CESI小标宋-GB2312" w:cs="CESI小标宋-GB2312"/>
          <w:sz w:val="44"/>
          <w:szCs w:val="44"/>
          <w:lang w:val="en-US" w:eastAsia="zh-CN"/>
        </w:rPr>
        <w:t>综合行政执法局</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CESI小标宋-GB2312" w:hAnsi="CESI小标宋-GB2312" w:eastAsia="CESI小标宋-GB2312" w:cs="CESI小标宋-GB2312"/>
          <w:sz w:val="44"/>
          <w:szCs w:val="44"/>
        </w:rPr>
      </w:pPr>
      <w:r>
        <w:rPr>
          <w:rFonts w:hint="eastAsia" w:ascii="CESI小标宋-GB2312" w:hAnsi="CESI小标宋-GB2312" w:eastAsia="CESI小标宋-GB2312" w:cs="CESI小标宋-GB2312"/>
          <w:sz w:val="44"/>
          <w:szCs w:val="44"/>
          <w:lang w:val="en-US" w:eastAsia="zh-CN"/>
        </w:rPr>
        <w:t>2025年</w:t>
      </w:r>
      <w:r>
        <w:rPr>
          <w:rFonts w:hint="eastAsia" w:ascii="CESI小标宋-GB2312" w:hAnsi="CESI小标宋-GB2312" w:eastAsia="CESI小标宋-GB2312" w:cs="CESI小标宋-GB2312"/>
          <w:sz w:val="44"/>
          <w:szCs w:val="44"/>
        </w:rPr>
        <w:t>政府信息公开工作年度报告</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本</w:t>
      </w:r>
      <w:r>
        <w:rPr>
          <w:rFonts w:hint="eastAsia" w:ascii="仿宋_GB2312" w:hAnsi="仿宋_GB2312" w:eastAsia="仿宋_GB2312" w:cs="仿宋_GB2312"/>
          <w:color w:val="auto"/>
          <w:sz w:val="32"/>
          <w:szCs w:val="32"/>
          <w:lang w:eastAsia="zh-CN"/>
        </w:rPr>
        <w:t>年度</w:t>
      </w:r>
      <w:r>
        <w:rPr>
          <w:rFonts w:hint="eastAsia" w:ascii="仿宋_GB2312" w:hAnsi="仿宋_GB2312" w:eastAsia="仿宋_GB2312" w:cs="仿宋_GB2312"/>
          <w:color w:val="auto"/>
          <w:sz w:val="32"/>
          <w:szCs w:val="32"/>
        </w:rPr>
        <w:t>报告根据《中华人民共和国政府信息公开条例》（以下简称《条例》）</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sz w:val="32"/>
          <w:szCs w:val="32"/>
        </w:rPr>
        <w:t>《国务院办公厅政府信息与政务公开办公室关于印发&lt;中华人民共和国政府信息公开工作年度报告格式&gt;的通知》（国办公开办函〔2021〕30号）相关</w:t>
      </w:r>
      <w:r>
        <w:rPr>
          <w:rFonts w:hint="eastAsia" w:ascii="仿宋_GB2312" w:hAnsi="仿宋_GB2312" w:eastAsia="仿宋_GB2312" w:cs="仿宋_GB2312"/>
          <w:color w:val="auto"/>
          <w:sz w:val="32"/>
          <w:szCs w:val="32"/>
        </w:rPr>
        <w:t>要求编制</w:t>
      </w:r>
      <w:r>
        <w:rPr>
          <w:rFonts w:hint="eastAsia" w:ascii="仿宋_GB2312" w:hAnsi="仿宋_GB2312" w:eastAsia="仿宋_GB2312" w:cs="仿宋_GB2312"/>
          <w:color w:val="auto"/>
          <w:sz w:val="32"/>
          <w:szCs w:val="32"/>
          <w:lang w:eastAsia="zh-CN"/>
        </w:rPr>
        <w:t>，全文</w:t>
      </w:r>
      <w:r>
        <w:rPr>
          <w:rFonts w:hint="eastAsia" w:ascii="仿宋_GB2312" w:hAnsi="仿宋_GB2312" w:eastAsia="仿宋_GB2312" w:cs="仿宋_GB2312"/>
          <w:color w:val="auto"/>
          <w:sz w:val="32"/>
          <w:szCs w:val="32"/>
        </w:rPr>
        <w:t>包括总体情况、主动公开政府信息情况、收到和处理政府信息公开申请情况、</w:t>
      </w:r>
      <w:r>
        <w:rPr>
          <w:rFonts w:hint="eastAsia" w:ascii="仿宋_GB2312" w:hAnsi="仿宋_GB2312" w:eastAsia="仿宋_GB2312" w:cs="仿宋_GB2312"/>
          <w:i w:val="0"/>
          <w:caps w:val="0"/>
          <w:color w:val="auto"/>
          <w:spacing w:val="0"/>
          <w:kern w:val="0"/>
          <w:sz w:val="32"/>
          <w:szCs w:val="32"/>
          <w:lang w:val="en-US" w:eastAsia="zh-CN" w:bidi="ar"/>
        </w:rPr>
        <w:t>因政府信息公开工作被申请行政复议和提起行政诉讼情况、政府信息公开工作</w:t>
      </w:r>
      <w:r>
        <w:rPr>
          <w:rFonts w:hint="eastAsia" w:ascii="仿宋_GB2312" w:hAnsi="仿宋_GB2312" w:eastAsia="仿宋_GB2312" w:cs="仿宋_GB2312"/>
          <w:color w:val="auto"/>
          <w:sz w:val="32"/>
          <w:szCs w:val="32"/>
        </w:rPr>
        <w:t>存在的主要问题及改进情况、其他需要报告的事项</w:t>
      </w:r>
      <w:r>
        <w:rPr>
          <w:rFonts w:hint="eastAsia" w:ascii="仿宋_GB2312" w:hAnsi="仿宋_GB2312" w:eastAsia="仿宋_GB2312" w:cs="仿宋_GB2312"/>
          <w:color w:val="auto"/>
          <w:sz w:val="32"/>
          <w:szCs w:val="32"/>
          <w:lang w:eastAsia="zh-CN"/>
        </w:rPr>
        <w:t>等六个部分</w:t>
      </w:r>
      <w:r>
        <w:rPr>
          <w:rFonts w:hint="eastAsia" w:ascii="仿宋_GB2312" w:hAnsi="仿宋_GB2312" w:eastAsia="仿宋_GB2312" w:cs="仿宋_GB2312"/>
          <w:color w:val="auto"/>
          <w:sz w:val="32"/>
          <w:szCs w:val="32"/>
        </w:rPr>
        <w:t>。</w:t>
      </w:r>
      <w:bookmarkStart w:id="0" w:name="_Hlk67405801"/>
      <w:r>
        <w:rPr>
          <w:rFonts w:hint="eastAsia" w:ascii="仿宋_GB2312" w:hAnsi="仿宋_GB2312" w:eastAsia="仿宋_GB2312" w:cs="仿宋_GB2312"/>
          <w:color w:val="auto"/>
          <w:sz w:val="32"/>
          <w:szCs w:val="32"/>
        </w:rPr>
        <w:t>本年度报告中所列数据统计期限从202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年1月1日</w:t>
      </w:r>
      <w:r>
        <w:rPr>
          <w:rFonts w:hint="eastAsia" w:ascii="仿宋_GB2312" w:hAnsi="仿宋_GB2312" w:eastAsia="仿宋_GB2312" w:cs="仿宋_GB2312"/>
          <w:color w:val="auto"/>
          <w:sz w:val="32"/>
          <w:szCs w:val="32"/>
          <w:lang w:eastAsia="zh-CN"/>
        </w:rPr>
        <w:t>至</w:t>
      </w:r>
      <w:r>
        <w:rPr>
          <w:rFonts w:hint="eastAsia" w:ascii="仿宋_GB2312" w:hAnsi="仿宋_GB2312" w:eastAsia="仿宋_GB2312" w:cs="仿宋_GB2312"/>
          <w:color w:val="auto"/>
          <w:sz w:val="32"/>
          <w:szCs w:val="32"/>
        </w:rPr>
        <w:t>12月31日</w:t>
      </w:r>
      <w:bookmarkEnd w:id="0"/>
      <w:r>
        <w:rPr>
          <w:rFonts w:hint="eastAsia" w:ascii="仿宋_GB2312" w:hAnsi="仿宋_GB2312" w:eastAsia="仿宋_GB2312" w:cs="仿宋_GB2312"/>
          <w:color w:val="auto"/>
          <w:sz w:val="32"/>
          <w:szCs w:val="32"/>
        </w:rPr>
        <w:t>。本年度报告电子版可从</w:t>
      </w:r>
      <w:r>
        <w:rPr>
          <w:rFonts w:hint="eastAsia" w:ascii="仿宋_GB2312" w:hAnsi="仿宋_GB2312" w:eastAsia="仿宋_GB2312" w:cs="仿宋_GB2312"/>
          <w:color w:val="auto"/>
          <w:sz w:val="32"/>
          <w:szCs w:val="32"/>
          <w:lang w:eastAsia="zh-CN"/>
        </w:rPr>
        <w:t>冠县人民政府网站</w:t>
      </w:r>
      <w:r>
        <w:rPr>
          <w:rFonts w:hint="eastAsia" w:ascii="仿宋_GB2312" w:hAnsi="仿宋_GB2312" w:eastAsia="仿宋_GB2312" w:cs="仿宋_GB2312"/>
          <w:color w:val="auto"/>
          <w:sz w:val="32"/>
          <w:szCs w:val="32"/>
        </w:rPr>
        <w:t>（http://www.guanxian.gov.cn/）下载。</w:t>
      </w:r>
      <w:r>
        <w:rPr>
          <w:rFonts w:hint="eastAsia" w:ascii="仿宋_GB2312" w:hAnsi="仿宋_GB2312" w:eastAsia="仿宋_GB2312" w:cs="仿宋_GB2312"/>
          <w:color w:val="auto"/>
          <w:sz w:val="32"/>
          <w:szCs w:val="32"/>
          <w:lang w:eastAsia="zh-CN"/>
        </w:rPr>
        <w:t>公众</w:t>
      </w:r>
      <w:r>
        <w:rPr>
          <w:rFonts w:hint="eastAsia" w:ascii="仿宋_GB2312" w:hAnsi="仿宋_GB2312" w:eastAsia="仿宋_GB2312" w:cs="仿宋_GB2312"/>
          <w:color w:val="auto"/>
          <w:sz w:val="32"/>
          <w:szCs w:val="32"/>
        </w:rPr>
        <w:t>如</w:t>
      </w:r>
      <w:r>
        <w:rPr>
          <w:rFonts w:hint="eastAsia" w:ascii="仿宋_GB2312" w:hAnsi="仿宋_GB2312" w:eastAsia="仿宋_GB2312" w:cs="仿宋_GB2312"/>
          <w:color w:val="auto"/>
          <w:sz w:val="32"/>
          <w:szCs w:val="32"/>
          <w:lang w:eastAsia="zh-CN"/>
        </w:rPr>
        <w:t>需进一步咨询了解相关信息</w:t>
      </w:r>
      <w:r>
        <w:rPr>
          <w:rFonts w:hint="eastAsia" w:ascii="仿宋_GB2312" w:hAnsi="仿宋_GB2312" w:eastAsia="仿宋_GB2312" w:cs="仿宋_GB2312"/>
          <w:color w:val="auto"/>
          <w:sz w:val="32"/>
          <w:szCs w:val="32"/>
        </w:rPr>
        <w:t>，请与冠县</w:t>
      </w:r>
      <w:r>
        <w:rPr>
          <w:rFonts w:hint="eastAsia" w:ascii="仿宋_GB2312" w:hAnsi="仿宋_GB2312" w:eastAsia="仿宋_GB2312" w:cs="仿宋_GB2312"/>
          <w:color w:val="auto"/>
          <w:sz w:val="32"/>
          <w:szCs w:val="32"/>
          <w:lang w:eastAsia="zh-CN"/>
        </w:rPr>
        <w:t>综合行政执法局</w:t>
      </w:r>
      <w:r>
        <w:rPr>
          <w:rFonts w:hint="eastAsia" w:ascii="仿宋_GB2312" w:hAnsi="仿宋_GB2312" w:eastAsia="仿宋_GB2312" w:cs="仿宋_GB2312"/>
          <w:color w:val="auto"/>
          <w:sz w:val="32"/>
          <w:szCs w:val="32"/>
        </w:rPr>
        <w:t>联系（</w:t>
      </w:r>
      <w:r>
        <w:rPr>
          <w:rFonts w:hint="eastAsia" w:ascii="仿宋_GB2312" w:hAnsi="仿宋_GB2312" w:eastAsia="仿宋_GB2312" w:cs="仿宋_GB2312"/>
          <w:color w:val="auto"/>
          <w:sz w:val="32"/>
          <w:szCs w:val="32"/>
          <w:lang w:eastAsia="zh-CN"/>
        </w:rPr>
        <w:t>地址：山东省聊城市冠县</w:t>
      </w:r>
      <w:r>
        <w:rPr>
          <w:rFonts w:hint="eastAsia" w:ascii="仿宋_GB2312" w:hAnsi="仿宋_GB2312" w:eastAsia="仿宋_GB2312" w:cs="仿宋_GB2312"/>
          <w:color w:val="auto"/>
          <w:sz w:val="32"/>
          <w:szCs w:val="32"/>
          <w:lang w:val="en-US" w:eastAsia="zh-CN"/>
        </w:rPr>
        <w:t>红旗北路186号；邮编：252500；</w:t>
      </w:r>
      <w:r>
        <w:rPr>
          <w:rFonts w:hint="eastAsia" w:ascii="仿宋_GB2312" w:hAnsi="仿宋_GB2312" w:eastAsia="仿宋_GB2312" w:cs="仿宋_GB2312"/>
          <w:color w:val="auto"/>
          <w:sz w:val="32"/>
          <w:szCs w:val="32"/>
        </w:rPr>
        <w:t>电话:</w:t>
      </w:r>
      <w:r>
        <w:rPr>
          <w:rFonts w:hint="eastAsia" w:ascii="仿宋_GB2312" w:hAnsi="仿宋_GB2312" w:eastAsia="仿宋_GB2312" w:cs="仿宋_GB2312"/>
          <w:color w:val="auto"/>
          <w:sz w:val="32"/>
          <w:szCs w:val="32"/>
          <w:lang w:val="en-US" w:eastAsia="zh-CN"/>
        </w:rPr>
        <w:t>0635-5888001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邮箱:</w:t>
      </w:r>
      <w:r>
        <w:rPr>
          <w:rFonts w:hint="eastAsia" w:ascii="仿宋_GB2312" w:hAnsi="仿宋_GB2312" w:eastAsia="仿宋_GB2312" w:cs="仿宋_GB2312"/>
          <w:color w:val="auto"/>
          <w:sz w:val="32"/>
          <w:szCs w:val="32"/>
          <w:lang w:val="en-US" w:eastAsia="zh-CN"/>
        </w:rPr>
        <w:t>gxzfj</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lc.</w:t>
      </w:r>
      <w:r>
        <w:rPr>
          <w:rFonts w:hint="eastAsia" w:ascii="仿宋_GB2312" w:hAnsi="仿宋_GB2312" w:eastAsia="仿宋_GB2312" w:cs="仿宋_GB2312"/>
          <w:color w:val="auto"/>
          <w:sz w:val="32"/>
          <w:szCs w:val="32"/>
        </w:rPr>
        <w:t>shandong.cn）。</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lang w:val="en-US" w:eastAsia="zh-CN"/>
        </w:rPr>
      </w:pPr>
      <w:r>
        <w:rPr>
          <w:rFonts w:hint="eastAsia" w:ascii="CESI黑体-GB2312" w:hAnsi="CESI黑体-GB2312" w:eastAsia="CESI黑体-GB2312" w:cs="CESI黑体-GB2312"/>
          <w:b w:val="0"/>
          <w:bCs w:val="0"/>
          <w:sz w:val="32"/>
          <w:szCs w:val="32"/>
          <w:lang w:eastAsia="zh-CN"/>
        </w:rPr>
        <w:t>一、</w:t>
      </w:r>
      <w:r>
        <w:rPr>
          <w:rFonts w:hint="eastAsia" w:ascii="CESI黑体-GB2312" w:hAnsi="CESI黑体-GB2312" w:eastAsia="CESI黑体-GB2312" w:cs="CESI黑体-GB2312"/>
          <w:b w:val="0"/>
          <w:bCs w:val="0"/>
          <w:sz w:val="32"/>
          <w:szCs w:val="32"/>
        </w:rPr>
        <w:t>总体情况</w:t>
      </w:r>
    </w:p>
    <w:p>
      <w:pPr>
        <w:keepNext w:val="0"/>
        <w:keepLines w:val="0"/>
        <w:pageBreakBefore w:val="0"/>
        <w:numPr>
          <w:ilvl w:val="0"/>
          <w:numId w:val="1"/>
        </w:numPr>
        <w:kinsoku/>
        <w:wordWrap/>
        <w:overflowPunct/>
        <w:topLinePunct w:val="0"/>
        <w:autoSpaceDE/>
        <w:autoSpaceDN/>
        <w:bidi w:val="0"/>
        <w:adjustRightInd/>
        <w:snapToGrid/>
        <w:spacing w:line="240" w:lineRule="auto"/>
        <w:ind w:firstLine="640"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rPr>
        <w:t>主动公开</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i w:val="0"/>
          <w:iCs w:val="0"/>
          <w:caps w:val="0"/>
          <w:color w:val="000000"/>
          <w:spacing w:val="0"/>
          <w:sz w:val="32"/>
          <w:szCs w:val="32"/>
          <w:lang w:val="en-US" w:eastAsia="zh-CN"/>
        </w:rPr>
      </w:pPr>
      <w:r>
        <w:rPr>
          <w:rFonts w:hint="eastAsia" w:ascii="仿宋_GB2312" w:hAnsi="仿宋_GB2312" w:eastAsia="仿宋_GB2312" w:cs="仿宋_GB2312"/>
          <w:b w:val="0"/>
          <w:bCs w:val="0"/>
          <w:i w:val="0"/>
          <w:iCs w:val="0"/>
          <w:caps w:val="0"/>
          <w:color w:val="000000"/>
          <w:spacing w:val="0"/>
          <w:sz w:val="32"/>
          <w:szCs w:val="32"/>
          <w:lang w:val="en-US" w:eastAsia="zh-CN"/>
        </w:rPr>
        <w:t>2025年，</w:t>
      </w:r>
      <w:r>
        <w:rPr>
          <w:rFonts w:hint="eastAsia" w:ascii="仿宋_GB2312" w:hAnsi="仿宋_GB2312" w:eastAsia="仿宋_GB2312" w:cs="仿宋_GB2312"/>
          <w:b w:val="0"/>
          <w:bCs w:val="0"/>
          <w:i w:val="0"/>
          <w:iCs w:val="0"/>
          <w:caps w:val="0"/>
          <w:color w:val="000000"/>
          <w:spacing w:val="0"/>
          <w:sz w:val="32"/>
          <w:szCs w:val="32"/>
          <w:lang w:eastAsia="zh-CN"/>
        </w:rPr>
        <w:t>通过冠县人民政府网站主动公开发布政府信息</w:t>
      </w:r>
      <w:r>
        <w:rPr>
          <w:rFonts w:hint="eastAsia" w:ascii="仿宋_GB2312" w:hAnsi="仿宋_GB2312" w:eastAsia="仿宋_GB2312" w:cs="仿宋_GB2312"/>
          <w:b w:val="0"/>
          <w:bCs w:val="0"/>
          <w:i w:val="0"/>
          <w:iCs w:val="0"/>
          <w:caps w:val="0"/>
          <w:color w:val="000000"/>
          <w:spacing w:val="0"/>
          <w:sz w:val="32"/>
          <w:szCs w:val="32"/>
          <w:lang w:val="en-US" w:eastAsia="zh-CN"/>
        </w:rPr>
        <w:t>378条，主要包括行政执法公示、通知公告、建议提案、公共企事业单位等方面信息。</w:t>
      </w:r>
    </w:p>
    <w:p>
      <w:pPr>
        <w:pStyle w:val="2"/>
        <w:rPr>
          <w:rFonts w:hint="eastAsia"/>
          <w:lang w:val="en-US" w:eastAsia="zh-CN"/>
        </w:rPr>
      </w:pPr>
      <w:r>
        <w:rPr>
          <w:rFonts w:hint="eastAsia"/>
          <w:lang w:val="en-US" w:eastAsia="zh-CN"/>
        </w:rPr>
        <w:drawing>
          <wp:inline distT="0" distB="0" distL="114300" distR="114300">
            <wp:extent cx="5271135" cy="3377565"/>
            <wp:effectExtent l="0" t="0" r="5715" b="13335"/>
            <wp:docPr id="1" name="图片 1" descr="wechat_2026-01-19_105919_09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wechat_2026-01-19_105919_094"/>
                    <pic:cNvPicPr>
                      <a:picLocks noChangeAspect="true"/>
                    </pic:cNvPicPr>
                  </pic:nvPicPr>
                  <pic:blipFill>
                    <a:blip r:embed="rId4"/>
                    <a:stretch>
                      <a:fillRect/>
                    </a:stretch>
                  </pic:blipFill>
                  <pic:spPr>
                    <a:xfrm>
                      <a:off x="0" y="0"/>
                      <a:ext cx="5271135" cy="3377565"/>
                    </a:xfrm>
                    <a:prstGeom prst="rect">
                      <a:avLst/>
                    </a:prstGeom>
                  </pic:spPr>
                </pic:pic>
              </a:graphicData>
            </a:graphic>
          </wp:inline>
        </w:drawing>
      </w:r>
    </w:p>
    <w:p>
      <w:pPr>
        <w:rPr>
          <w:rFonts w:hint="eastAsia"/>
          <w:lang w:val="en-US" w:eastAsia="zh-CN"/>
        </w:rPr>
      </w:pPr>
      <w:r>
        <w:rPr>
          <w:rFonts w:hint="eastAsia"/>
          <w:lang w:val="en-US" w:eastAsia="zh-CN"/>
        </w:rPr>
        <w:drawing>
          <wp:inline distT="0" distB="0" distL="114300" distR="114300">
            <wp:extent cx="5271135" cy="2868295"/>
            <wp:effectExtent l="0" t="0" r="5715" b="8255"/>
            <wp:docPr id="2" name="图片 2" descr="wechat_2026-01-19_105651_85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descr="wechat_2026-01-19_105651_852"/>
                    <pic:cNvPicPr>
                      <a:picLocks noChangeAspect="true"/>
                    </pic:cNvPicPr>
                  </pic:nvPicPr>
                  <pic:blipFill>
                    <a:blip r:embed="rId5"/>
                    <a:stretch>
                      <a:fillRect/>
                    </a:stretch>
                  </pic:blipFill>
                  <pic:spPr>
                    <a:xfrm>
                      <a:off x="0" y="0"/>
                      <a:ext cx="5271135" cy="2868295"/>
                    </a:xfrm>
                    <a:prstGeom prst="rect">
                      <a:avLst/>
                    </a:prstGeom>
                  </pic:spPr>
                </pic:pic>
              </a:graphicData>
            </a:graphic>
          </wp:inline>
        </w:drawing>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（二）</w:t>
      </w:r>
      <w:r>
        <w:rPr>
          <w:rFonts w:hint="eastAsia" w:ascii="CESI楷体-GB2312" w:hAnsi="CESI楷体-GB2312" w:eastAsia="CESI楷体-GB2312" w:cs="CESI楷体-GB2312"/>
          <w:b/>
          <w:bCs/>
          <w:sz w:val="32"/>
          <w:szCs w:val="32"/>
        </w:rPr>
        <w:t>依申请公开</w:t>
      </w:r>
    </w:p>
    <w:p>
      <w:pPr>
        <w:pageBreakBefore w:val="0"/>
        <w:kinsoku/>
        <w:overflowPunct/>
        <w:topLinePunct w:val="0"/>
        <w:autoSpaceDE/>
        <w:autoSpaceDN/>
        <w:bidi w:val="0"/>
        <w:adjustRightInd/>
        <w:spacing w:line="240" w:lineRule="auto"/>
        <w:ind w:firstLine="640" w:firstLineChars="200"/>
        <w:textAlignment w:val="auto"/>
        <w:rPr>
          <w:rFonts w:hint="eastAsia" w:ascii="仿宋_GB2312" w:eastAsia="仿宋_GB2312" w:cs="汉仪中等线简"/>
          <w:sz w:val="32"/>
          <w:szCs w:val="32"/>
          <w:lang w:eastAsia="zh-CN"/>
        </w:rPr>
      </w:pPr>
      <w:r>
        <w:rPr>
          <w:rFonts w:hint="eastAsia" w:ascii="仿宋_GB2312" w:eastAsia="仿宋_GB2312"/>
          <w:color w:val="auto"/>
          <w:sz w:val="32"/>
          <w:szCs w:val="32"/>
          <w:lang w:val="en-US" w:eastAsia="zh-CN"/>
        </w:rPr>
        <w:t>2025年，共受理政府信息公开申请1件。</w:t>
      </w:r>
      <w:r>
        <w:rPr>
          <w:rFonts w:hint="eastAsia" w:ascii="仿宋_GB2312" w:eastAsia="仿宋_GB2312"/>
          <w:color w:val="auto"/>
          <w:sz w:val="32"/>
          <w:szCs w:val="32"/>
        </w:rPr>
        <w:t>政府信息公开申请内容主要涉及</w:t>
      </w:r>
      <w:r>
        <w:rPr>
          <w:rFonts w:hint="eastAsia" w:ascii="仿宋_GB2312" w:eastAsia="仿宋_GB2312"/>
          <w:color w:val="auto"/>
          <w:sz w:val="32"/>
          <w:szCs w:val="32"/>
          <w:lang w:val="en-US" w:eastAsia="zh-CN"/>
        </w:rPr>
        <w:t>违法建设</w:t>
      </w:r>
      <w:r>
        <w:rPr>
          <w:rFonts w:hint="default" w:ascii="仿宋_GB2312" w:eastAsia="仿宋_GB2312"/>
          <w:color w:val="auto"/>
          <w:sz w:val="32"/>
          <w:szCs w:val="32"/>
          <w:lang w:val="en-US" w:eastAsia="zh-CN"/>
        </w:rPr>
        <w:t>等方面。</w:t>
      </w:r>
      <w:r>
        <w:rPr>
          <w:rFonts w:hint="eastAsia" w:ascii="Times New Roman" w:hAnsi="Times New Roman" w:eastAsia="仿宋_GB2312" w:cs="仿宋_GB2312"/>
          <w:color w:val="auto"/>
          <w:sz w:val="32"/>
          <w:szCs w:val="32"/>
        </w:rPr>
        <w:t>本年度答复政府信息公开申请</w:t>
      </w:r>
      <w:r>
        <w:rPr>
          <w:rFonts w:hint="eastAsia" w:ascii="仿宋_GB2312" w:eastAsia="仿宋_GB2312"/>
          <w:color w:val="auto"/>
          <w:sz w:val="32"/>
          <w:szCs w:val="32"/>
          <w:lang w:val="en-US" w:eastAsia="zh-CN"/>
        </w:rPr>
        <w:t>1</w:t>
      </w:r>
      <w:r>
        <w:rPr>
          <w:rFonts w:hint="eastAsia" w:ascii="Times New Roman" w:hAnsi="Times New Roman" w:eastAsia="仿宋_GB2312" w:cs="仿宋_GB2312"/>
          <w:color w:val="auto"/>
          <w:sz w:val="32"/>
          <w:szCs w:val="32"/>
        </w:rPr>
        <w:t>件</w:t>
      </w:r>
      <w:r>
        <w:rPr>
          <w:rFonts w:hint="eastAsia" w:ascii="Times New Roman" w:hAnsi="Times New Roman" w:eastAsia="仿宋_GB2312" w:cs="仿宋_GB2312"/>
          <w:color w:val="auto"/>
          <w:sz w:val="32"/>
          <w:szCs w:val="32"/>
          <w:lang w:eastAsia="zh-CN"/>
        </w:rPr>
        <w:t>，为</w:t>
      </w:r>
      <w:r>
        <w:rPr>
          <w:rFonts w:hint="default" w:ascii="仿宋_GB2312" w:hAnsi="宋体" w:eastAsia="仿宋_GB2312" w:cs="仿宋_GB2312"/>
          <w:i w:val="0"/>
          <w:caps w:val="0"/>
          <w:color w:val="auto"/>
          <w:spacing w:val="0"/>
          <w:kern w:val="0"/>
          <w:sz w:val="32"/>
          <w:szCs w:val="32"/>
          <w:u w:val="none"/>
          <w:shd w:val="clear" w:color="auto" w:fill="FFFFFF"/>
          <w:lang w:val="en-US" w:eastAsia="zh-CN" w:bidi="ar"/>
        </w:rPr>
        <w:t>部分公开</w:t>
      </w:r>
      <w:r>
        <w:rPr>
          <w:rFonts w:hint="eastAsia" w:ascii="仿宋_GB2312" w:hAnsi="宋体" w:eastAsia="仿宋_GB2312" w:cs="仿宋_GB2312"/>
          <w:i w:val="0"/>
          <w:caps w:val="0"/>
          <w:color w:val="auto"/>
          <w:spacing w:val="0"/>
          <w:kern w:val="0"/>
          <w:sz w:val="32"/>
          <w:szCs w:val="32"/>
          <w:u w:val="none"/>
          <w:shd w:val="clear" w:color="auto" w:fill="FFFFFF"/>
          <w:lang w:val="en-US" w:eastAsia="zh-CN" w:bidi="ar"/>
        </w:rPr>
        <w:t>，已</w:t>
      </w:r>
      <w:r>
        <w:rPr>
          <w:rFonts w:hint="eastAsia" w:ascii="仿宋_GB2312" w:eastAsia="仿宋_GB2312" w:cs="汉仪中等线简"/>
          <w:color w:val="000000"/>
          <w:sz w:val="32"/>
          <w:szCs w:val="32"/>
        </w:rPr>
        <w:t>在法定期限内予以答复</w:t>
      </w:r>
      <w:r>
        <w:rPr>
          <w:rFonts w:hint="eastAsia" w:ascii="Times New Roman" w:hAnsi="Times New Roman" w:eastAsia="仿宋_GB2312" w:cs="仿宋_GB2312"/>
          <w:color w:val="auto"/>
          <w:sz w:val="32"/>
          <w:szCs w:val="32"/>
        </w:rPr>
        <w:t>。</w:t>
      </w:r>
      <w:r>
        <w:rPr>
          <w:rFonts w:hint="eastAsia" w:ascii="仿宋_GB2312" w:eastAsia="仿宋_GB2312" w:cs="汉仪中等线简"/>
          <w:sz w:val="32"/>
          <w:szCs w:val="32"/>
          <w:lang w:eastAsia="zh-CN"/>
        </w:rPr>
        <w:t>全年未发生因政府信息公开被行政复议、提起行政诉讼情况。</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lang w:eastAsia="zh-CN"/>
        </w:rPr>
        <w:t>（三）</w:t>
      </w:r>
      <w:r>
        <w:rPr>
          <w:rFonts w:hint="eastAsia" w:ascii="CESI楷体-GB2312" w:hAnsi="CESI楷体-GB2312" w:eastAsia="CESI楷体-GB2312" w:cs="CESI楷体-GB2312"/>
          <w:b/>
          <w:bCs/>
          <w:sz w:val="32"/>
          <w:szCs w:val="32"/>
        </w:rPr>
        <w:t>政府信息管理</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eastAsia="仿宋_GB2312"/>
          <w:sz w:val="32"/>
          <w:szCs w:val="32"/>
        </w:rPr>
      </w:pPr>
      <w:r>
        <w:rPr>
          <w:rFonts w:hint="eastAsia" w:ascii="仿宋_GB2312" w:eastAsia="仿宋_GB2312"/>
          <w:sz w:val="32"/>
          <w:szCs w:val="32"/>
          <w:lang w:eastAsia="zh-CN"/>
        </w:rPr>
        <w:t>政府信息公开机制不断完善，</w:t>
      </w:r>
      <w:r>
        <w:rPr>
          <w:rFonts w:hint="eastAsia" w:ascii="仿宋_GB2312" w:eastAsia="仿宋_GB2312"/>
          <w:sz w:val="32"/>
          <w:szCs w:val="32"/>
          <w:lang w:val="en-US" w:eastAsia="zh-CN"/>
        </w:rPr>
        <w:t>制定全局信息发布工作要点，明确发布要求和发布时限，确保精准发布。严格落实信息发布保密审查制度，做好信息内容管控审校，信息发布门类清晰，群众检索便捷高效。</w:t>
      </w:r>
    </w:p>
    <w:p>
      <w:pPr>
        <w:keepNext w:val="0"/>
        <w:keepLines w:val="0"/>
        <w:pageBreakBefore w:val="0"/>
        <w:numPr>
          <w:ilvl w:val="0"/>
          <w:numId w:val="2"/>
        </w:numPr>
        <w:kinsoku/>
        <w:wordWrap/>
        <w:overflowPunct/>
        <w:topLinePunct w:val="0"/>
        <w:autoSpaceDE/>
        <w:autoSpaceDN/>
        <w:bidi w:val="0"/>
        <w:adjustRightInd/>
        <w:snapToGrid/>
        <w:spacing w:line="240" w:lineRule="auto"/>
        <w:ind w:firstLine="640"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rPr>
        <w:t>政府信息公开平台建设</w:t>
      </w:r>
    </w:p>
    <w:p>
      <w:pPr>
        <w:keepNext w:val="0"/>
        <w:keepLines w:val="0"/>
        <w:pageBreakBefore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做好冠县政府网站和县级融媒体平台维护更新，严格落实信息发布“三审三校”工作制度，确保发布信息准确无误。在新媒体平台，发布信息形式多样，采用图文、视频等多种方式。    </w:t>
      </w:r>
    </w:p>
    <w:p>
      <w:pPr>
        <w:keepNext w:val="0"/>
        <w:keepLines w:val="0"/>
        <w:pageBreakBefore w:val="0"/>
        <w:numPr>
          <w:ilvl w:val="0"/>
          <w:numId w:val="2"/>
        </w:numPr>
        <w:kinsoku/>
        <w:wordWrap/>
        <w:overflowPunct/>
        <w:topLinePunct w:val="0"/>
        <w:autoSpaceDE/>
        <w:autoSpaceDN/>
        <w:bidi w:val="0"/>
        <w:adjustRightInd/>
        <w:snapToGrid/>
        <w:spacing w:line="240" w:lineRule="auto"/>
        <w:ind w:left="0" w:leftChars="0" w:firstLine="640"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rPr>
        <w:t>监督保障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eastAsia="仿宋_GB2312"/>
          <w:sz w:val="32"/>
          <w:szCs w:val="32"/>
        </w:rPr>
      </w:pPr>
      <w:r>
        <w:rPr>
          <w:rFonts w:hint="eastAsia" w:ascii="仿宋_GB2312" w:eastAsia="仿宋_GB2312"/>
          <w:sz w:val="32"/>
          <w:szCs w:val="32"/>
          <w:lang w:eastAsia="zh-CN"/>
        </w:rPr>
        <w:t>设有专职工作机构和人员，</w:t>
      </w:r>
      <w:r>
        <w:rPr>
          <w:rFonts w:hint="eastAsia" w:ascii="仿宋_GB2312" w:eastAsia="仿宋_GB2312"/>
          <w:sz w:val="32"/>
          <w:szCs w:val="32"/>
          <w:lang w:val="en-US" w:eastAsia="zh-CN"/>
        </w:rPr>
        <w:t>组织开展政务公开业务培训2次，不断提高人员政务公开专业能力。</w:t>
      </w:r>
      <w:r>
        <w:rPr>
          <w:rFonts w:hint="eastAsia" w:ascii="仿宋_GB2312" w:eastAsia="仿宋_GB2312"/>
          <w:sz w:val="32"/>
          <w:szCs w:val="32"/>
          <w:lang w:eastAsia="zh-CN"/>
        </w:rPr>
        <w:t>对全局政务公开工作进行不定期督导检查，对出现问题的业务科室进行督导问责，强化措施整改，确保政务公开工作全面推进</w:t>
      </w:r>
      <w:r>
        <w:rPr>
          <w:rFonts w:hint="eastAsia" w:ascii="仿宋_GB2312" w:eastAsia="仿宋_GB2312"/>
          <w:sz w:val="32"/>
          <w:szCs w:val="32"/>
        </w:rPr>
        <w:t>。</w:t>
      </w:r>
    </w:p>
    <w:p>
      <w:pPr>
        <w:pStyle w:val="3"/>
        <w:pageBreakBefore w:val="0"/>
        <w:numPr>
          <w:ilvl w:val="0"/>
          <w:numId w:val="0"/>
        </w:numPr>
        <w:kinsoku/>
        <w:overflowPunct/>
        <w:topLinePunct w:val="0"/>
        <w:autoSpaceDE/>
        <w:autoSpaceDN/>
        <w:bidi w:val="0"/>
        <w:adjustRightInd/>
        <w:spacing w:before="0" w:after="0" w:line="240" w:lineRule="auto"/>
        <w:ind w:firstLine="640" w:firstLineChars="200"/>
        <w:textAlignment w:val="auto"/>
        <w:rPr>
          <w:rFonts w:hint="eastAsia"/>
        </w:rPr>
      </w:pPr>
      <w:r>
        <w:rPr>
          <w:rFonts w:hint="eastAsia" w:ascii="CESI黑体-GB2312" w:hAnsi="CESI黑体-GB2312" w:eastAsia="CESI黑体-GB2312" w:cs="CESI黑体-GB2312"/>
          <w:b w:val="0"/>
          <w:bCs w:val="0"/>
          <w:lang w:eastAsia="zh-CN"/>
        </w:rPr>
        <w:t>二、</w:t>
      </w:r>
      <w:r>
        <w:rPr>
          <w:rFonts w:hint="eastAsia" w:ascii="CESI黑体-GB2312" w:hAnsi="CESI黑体-GB2312" w:eastAsia="CESI黑体-GB2312" w:cs="CESI黑体-GB2312"/>
          <w:b w:val="0"/>
          <w:bCs w:val="0"/>
        </w:rPr>
        <w:t>主动公开政府信息情况</w:t>
      </w:r>
    </w:p>
    <w:tbl>
      <w:tblPr>
        <w:tblStyle w:val="5"/>
        <w:tblpPr w:leftFromText="180" w:rightFromText="180" w:vertAnchor="text" w:horzAnchor="page" w:tblpXSpec="center" w:tblpY="596"/>
        <w:tblOverlap w:val="never"/>
        <w:tblW w:w="5000" w:type="pct"/>
        <w:jc w:val="center"/>
        <w:tblLayout w:type="autofit"/>
        <w:tblCellMar>
          <w:top w:w="0" w:type="dxa"/>
          <w:left w:w="108" w:type="dxa"/>
          <w:bottom w:w="0" w:type="dxa"/>
          <w:right w:w="108" w:type="dxa"/>
        </w:tblCellMar>
      </w:tblPr>
      <w:tblGrid>
        <w:gridCol w:w="2130"/>
        <w:gridCol w:w="2130"/>
        <w:gridCol w:w="2131"/>
        <w:gridCol w:w="2131"/>
      </w:tblGrid>
      <w:tr>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pageBreakBefore w:val="0"/>
              <w:widowControl/>
              <w:kinsoku/>
              <w:overflowPunct/>
              <w:topLinePunct w:val="0"/>
              <w:autoSpaceDE/>
              <w:autoSpaceDN/>
              <w:bidi w:val="0"/>
              <w:adjustRightInd/>
              <w:spacing w:line="240" w:lineRule="auto"/>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pageBreakBefore w:val="0"/>
              <w:widowControl/>
              <w:kinsoku/>
              <w:overflowPunct/>
              <w:topLinePunct w:val="0"/>
              <w:autoSpaceDE/>
              <w:autoSpaceDN/>
              <w:bidi w:val="0"/>
              <w:adjustRightInd/>
              <w:spacing w:line="24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pPr>
              <w:pageBreakBefore w:val="0"/>
              <w:widowControl/>
              <w:kinsoku/>
              <w:overflowPunct/>
              <w:topLinePunct w:val="0"/>
              <w:autoSpaceDE/>
              <w:autoSpaceDN/>
              <w:bidi w:val="0"/>
              <w:adjustRightInd/>
              <w:spacing w:line="24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pPr>
              <w:pageBreakBefore w:val="0"/>
              <w:widowControl/>
              <w:kinsoku/>
              <w:overflowPunct/>
              <w:topLinePunct w:val="0"/>
              <w:autoSpaceDE/>
              <w:autoSpaceDN/>
              <w:bidi w:val="0"/>
              <w:adjustRightInd/>
              <w:spacing w:line="24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pPr>
              <w:pageBreakBefore w:val="0"/>
              <w:widowControl/>
              <w:kinsoku/>
              <w:overflowPunct/>
              <w:topLinePunct w:val="0"/>
              <w:autoSpaceDE/>
              <w:autoSpaceDN/>
              <w:bidi w:val="0"/>
              <w:adjustRightInd/>
              <w:spacing w:line="24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pageBreakBefore w:val="0"/>
              <w:widowControl/>
              <w:kinsoku/>
              <w:overflowPunct/>
              <w:topLinePunct w:val="0"/>
              <w:autoSpaceDE/>
              <w:autoSpaceDN/>
              <w:bidi w:val="0"/>
              <w:adjustRightInd/>
              <w:spacing w:line="240" w:lineRule="auto"/>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noWrap w:val="0"/>
            <w:vAlign w:val="center"/>
          </w:tcPr>
          <w:p>
            <w:pPr>
              <w:pageBreakBefore w:val="0"/>
              <w:widowControl/>
              <w:kinsoku/>
              <w:overflowPunct/>
              <w:topLinePunct w:val="0"/>
              <w:autoSpaceDE/>
              <w:autoSpaceDN/>
              <w:bidi w:val="0"/>
              <w:adjustRightInd/>
              <w:spacing w:line="240" w:lineRule="auto"/>
              <w:jc w:val="center"/>
              <w:textAlignment w:val="auto"/>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pageBreakBefore w:val="0"/>
              <w:widowControl/>
              <w:kinsoku/>
              <w:overflowPunct/>
              <w:topLinePunct w:val="0"/>
              <w:autoSpaceDE/>
              <w:autoSpaceDN/>
              <w:bidi w:val="0"/>
              <w:adjustRightInd/>
              <w:spacing w:line="240" w:lineRule="auto"/>
              <w:jc w:val="center"/>
              <w:textAlignment w:val="auto"/>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pageBreakBefore w:val="0"/>
              <w:widowControl/>
              <w:kinsoku/>
              <w:overflowPunct/>
              <w:topLinePunct w:val="0"/>
              <w:autoSpaceDE/>
              <w:autoSpaceDN/>
              <w:bidi w:val="0"/>
              <w:adjustRightInd/>
              <w:spacing w:line="240" w:lineRule="auto"/>
              <w:jc w:val="center"/>
              <w:textAlignment w:val="auto"/>
              <w:rPr>
                <w:rFonts w:hint="default"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pageBreakBefore w:val="0"/>
              <w:widowControl/>
              <w:kinsoku/>
              <w:overflowPunct/>
              <w:topLinePunct w:val="0"/>
              <w:autoSpaceDE/>
              <w:autoSpaceDN/>
              <w:bidi w:val="0"/>
              <w:adjustRightInd/>
              <w:spacing w:line="240" w:lineRule="auto"/>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pageBreakBefore w:val="0"/>
              <w:widowControl/>
              <w:kinsoku/>
              <w:overflowPunct/>
              <w:topLinePunct w:val="0"/>
              <w:autoSpaceDE/>
              <w:autoSpaceDN/>
              <w:bidi w:val="0"/>
              <w:adjustRightInd/>
              <w:spacing w:line="240" w:lineRule="auto"/>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pageBreakBefore w:val="0"/>
              <w:widowControl/>
              <w:kinsoku/>
              <w:overflowPunct/>
              <w:topLinePunct w:val="0"/>
              <w:autoSpaceDE/>
              <w:autoSpaceDN/>
              <w:bidi w:val="0"/>
              <w:adjustRightInd/>
              <w:spacing w:line="24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pageBreakBefore w:val="0"/>
              <w:widowControl/>
              <w:kinsoku/>
              <w:overflowPunct/>
              <w:topLinePunct w:val="0"/>
              <w:autoSpaceDE/>
              <w:autoSpaceDN/>
              <w:bidi w:val="0"/>
              <w:adjustRightInd/>
              <w:spacing w:line="24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pageBreakBefore w:val="0"/>
              <w:widowControl/>
              <w:kinsoku/>
              <w:overflowPunct/>
              <w:topLinePunct w:val="0"/>
              <w:autoSpaceDE/>
              <w:autoSpaceDN/>
              <w:bidi w:val="0"/>
              <w:adjustRightInd/>
              <w:spacing w:line="240" w:lineRule="auto"/>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pageBreakBefore w:val="0"/>
              <w:widowControl/>
              <w:kinsoku/>
              <w:overflowPunct/>
              <w:topLinePunct w:val="0"/>
              <w:autoSpaceDE/>
              <w:autoSpaceDN/>
              <w:bidi w:val="0"/>
              <w:adjustRightInd/>
              <w:spacing w:line="240" w:lineRule="auto"/>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pageBreakBefore w:val="0"/>
              <w:widowControl/>
              <w:kinsoku/>
              <w:overflowPunct/>
              <w:topLinePunct w:val="0"/>
              <w:autoSpaceDE/>
              <w:autoSpaceDN/>
              <w:bidi w:val="0"/>
              <w:adjustRightInd/>
              <w:spacing w:line="24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pageBreakBefore w:val="0"/>
              <w:widowControl/>
              <w:kinsoku/>
              <w:overflowPunct/>
              <w:topLinePunct w:val="0"/>
              <w:autoSpaceDE/>
              <w:autoSpaceDN/>
              <w:bidi w:val="0"/>
              <w:adjustRightInd/>
              <w:spacing w:line="24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pageBreakBefore w:val="0"/>
              <w:widowControl/>
              <w:kinsoku/>
              <w:overflowPunct/>
              <w:topLinePunct w:val="0"/>
              <w:autoSpaceDE/>
              <w:autoSpaceDN/>
              <w:bidi w:val="0"/>
              <w:adjustRightInd/>
              <w:spacing w:line="240" w:lineRule="auto"/>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pPr>
              <w:pageBreakBefore w:val="0"/>
              <w:widowControl/>
              <w:kinsoku/>
              <w:overflowPunct/>
              <w:topLinePunct w:val="0"/>
              <w:autoSpaceDE/>
              <w:autoSpaceDN/>
              <w:bidi w:val="0"/>
              <w:adjustRightInd/>
              <w:spacing w:line="240" w:lineRule="auto"/>
              <w:jc w:val="center"/>
              <w:textAlignment w:val="auto"/>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213</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pageBreakBefore w:val="0"/>
              <w:widowControl/>
              <w:kinsoku/>
              <w:overflowPunct/>
              <w:topLinePunct w:val="0"/>
              <w:autoSpaceDE/>
              <w:autoSpaceDN/>
              <w:bidi w:val="0"/>
              <w:adjustRightInd/>
              <w:spacing w:line="240" w:lineRule="auto"/>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pPr>
              <w:pageBreakBefore w:val="0"/>
              <w:widowControl/>
              <w:kinsoku/>
              <w:overflowPunct/>
              <w:topLinePunct w:val="0"/>
              <w:autoSpaceDE/>
              <w:autoSpaceDN/>
              <w:bidi w:val="0"/>
              <w:adjustRightInd/>
              <w:spacing w:line="240" w:lineRule="auto"/>
              <w:jc w:val="center"/>
              <w:textAlignment w:val="auto"/>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34</w:t>
            </w:r>
          </w:p>
        </w:tc>
      </w:tr>
      <w:tr>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pageBreakBefore w:val="0"/>
              <w:widowControl/>
              <w:kinsoku/>
              <w:overflowPunct/>
              <w:topLinePunct w:val="0"/>
              <w:autoSpaceDE/>
              <w:autoSpaceDN/>
              <w:bidi w:val="0"/>
              <w:adjustRightInd/>
              <w:spacing w:line="240" w:lineRule="auto"/>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pageBreakBefore w:val="0"/>
              <w:widowControl/>
              <w:kinsoku/>
              <w:overflowPunct/>
              <w:topLinePunct w:val="0"/>
              <w:autoSpaceDE/>
              <w:autoSpaceDN/>
              <w:bidi w:val="0"/>
              <w:adjustRightInd/>
              <w:spacing w:line="24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pageBreakBefore w:val="0"/>
              <w:widowControl/>
              <w:kinsoku/>
              <w:overflowPunct/>
              <w:topLinePunct w:val="0"/>
              <w:autoSpaceDE/>
              <w:autoSpaceDN/>
              <w:bidi w:val="0"/>
              <w:adjustRightInd/>
              <w:spacing w:line="24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pageBreakBefore w:val="0"/>
              <w:widowControl/>
              <w:kinsoku/>
              <w:overflowPunct/>
              <w:topLinePunct w:val="0"/>
              <w:autoSpaceDE/>
              <w:autoSpaceDN/>
              <w:bidi w:val="0"/>
              <w:adjustRightInd/>
              <w:spacing w:line="240" w:lineRule="auto"/>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bl>
    <w:p>
      <w:pPr>
        <w:pageBreakBefore w:val="0"/>
        <w:numPr>
          <w:ilvl w:val="0"/>
          <w:numId w:val="0"/>
        </w:numPr>
        <w:kinsoku/>
        <w:overflowPunct/>
        <w:topLinePunct w:val="0"/>
        <w:autoSpaceDE/>
        <w:autoSpaceDN/>
        <w:bidi w:val="0"/>
        <w:adjustRightInd/>
        <w:spacing w:line="240" w:lineRule="auto"/>
        <w:textAlignment w:val="auto"/>
        <w:rPr>
          <w:rFonts w:hint="eastAsia"/>
        </w:rPr>
      </w:pPr>
    </w:p>
    <w:p>
      <w:pPr>
        <w:pageBreakBefore w:val="0"/>
        <w:kinsoku/>
        <w:overflowPunct/>
        <w:topLinePunct w:val="0"/>
        <w:autoSpaceDE/>
        <w:autoSpaceDN/>
        <w:bidi w:val="0"/>
        <w:adjustRightInd/>
        <w:spacing w:line="240" w:lineRule="auto"/>
        <w:ind w:firstLine="640" w:firstLineChars="200"/>
        <w:jc w:val="left"/>
        <w:textAlignment w:val="auto"/>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CN"/>
        </w:rPr>
        <w:t>三、</w:t>
      </w:r>
      <w:r>
        <w:rPr>
          <w:rFonts w:hint="eastAsia" w:ascii="CESI黑体-GB2312" w:hAnsi="CESI黑体-GB2312" w:eastAsia="CESI黑体-GB2312" w:cs="CESI黑体-GB2312"/>
          <w:sz w:val="32"/>
          <w:szCs w:val="32"/>
        </w:rPr>
        <w:t>收到和处理政府信息公开申请情况</w:t>
      </w:r>
    </w:p>
    <w:tbl>
      <w:tblPr>
        <w:tblStyle w:val="5"/>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pageBreakBefore w:val="0"/>
              <w:widowControl/>
              <w:kinsoku/>
              <w:overflowPunct/>
              <w:topLinePunct w:val="0"/>
              <w:autoSpaceDE/>
              <w:autoSpaceDN/>
              <w:bidi w:val="0"/>
              <w:adjustRightInd/>
              <w:spacing w:line="240" w:lineRule="auto"/>
              <w:jc w:val="center"/>
              <w:textAlignment w:val="auto"/>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jc w:val="center"/>
              <w:textAlignment w:val="auto"/>
              <w:rPr>
                <w:rFonts w:ascii="仿宋_GB2312" w:hAnsi="Times New Roman" w:eastAsia="仿宋_GB2312"/>
                <w:szCs w:val="21"/>
              </w:rPr>
            </w:pPr>
          </w:p>
        </w:tc>
        <w:tc>
          <w:tcPr>
            <w:tcW w:w="829" w:type="dxa"/>
            <w:vMerge w:val="restart"/>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ascii="黑体" w:hAnsi="黑体" w:eastAsia="黑体"/>
                <w:szCs w:val="21"/>
              </w:rPr>
            </w:pPr>
            <w:r>
              <w:rPr>
                <w:rFonts w:hint="eastAsia" w:ascii="黑体" w:hAnsi="黑体" w:eastAsia="黑体"/>
                <w:kern w:val="0"/>
                <w:szCs w:val="21"/>
              </w:rPr>
              <w:t>自然人</w:t>
            </w:r>
          </w:p>
        </w:tc>
        <w:tc>
          <w:tcPr>
            <w:tcW w:w="3140" w:type="dxa"/>
            <w:gridSpan w:val="5"/>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ascii="黑体" w:hAnsi="黑体" w:eastAsia="黑体"/>
                <w:szCs w:val="21"/>
              </w:rPr>
            </w:pPr>
            <w:r>
              <w:rPr>
                <w:rFonts w:hint="eastAsia" w:ascii="黑体" w:hAnsi="黑体" w:eastAsia="黑体"/>
                <w:kern w:val="0"/>
                <w:szCs w:val="21"/>
              </w:rPr>
              <w:t>法人或其他组织</w:t>
            </w:r>
          </w:p>
        </w:tc>
        <w:tc>
          <w:tcPr>
            <w:tcW w:w="851" w:type="dxa"/>
            <w:vMerge w:val="restart"/>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jc w:val="center"/>
              <w:textAlignment w:val="auto"/>
              <w:rPr>
                <w:rFonts w:ascii="仿宋_GB2312" w:hAnsi="Times New Roman" w:eastAsia="仿宋_GB2312"/>
                <w:szCs w:val="21"/>
              </w:rPr>
            </w:pPr>
          </w:p>
        </w:tc>
        <w:tc>
          <w:tcPr>
            <w:tcW w:w="829"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jc w:val="center"/>
              <w:textAlignment w:val="auto"/>
              <w:rPr>
                <w:rFonts w:ascii="黑体" w:hAnsi="黑体" w:eastAsia="黑体"/>
                <w:szCs w:val="21"/>
              </w:rPr>
            </w:pP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ind w:left="-106" w:leftChars="-51" w:right="-107" w:rightChars="-51" w:hanging="1"/>
              <w:jc w:val="center"/>
              <w:textAlignment w:val="auto"/>
              <w:rPr>
                <w:rFonts w:ascii="黑体" w:hAnsi="黑体" w:eastAsia="黑体"/>
                <w:szCs w:val="21"/>
              </w:rPr>
            </w:pPr>
            <w:r>
              <w:rPr>
                <w:rFonts w:hint="eastAsia" w:ascii="黑体" w:hAnsi="黑体" w:eastAsia="黑体"/>
                <w:kern w:val="0"/>
                <w:szCs w:val="21"/>
              </w:rPr>
              <w:t>商业企业</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ind w:left="-107" w:leftChars="-51" w:right="-107" w:rightChars="-51"/>
              <w:jc w:val="center"/>
              <w:textAlignment w:val="auto"/>
              <w:rPr>
                <w:rFonts w:ascii="黑体" w:hAnsi="黑体" w:eastAsia="黑体"/>
                <w:szCs w:val="21"/>
              </w:rPr>
            </w:pPr>
            <w:r>
              <w:rPr>
                <w:rFonts w:hint="eastAsia" w:ascii="黑体" w:hAnsi="黑体" w:eastAsia="黑体"/>
                <w:kern w:val="0"/>
                <w:szCs w:val="21"/>
              </w:rPr>
              <w:t>科研机构</w:t>
            </w:r>
          </w:p>
        </w:tc>
        <w:tc>
          <w:tcPr>
            <w:tcW w:w="73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ind w:left="-107" w:leftChars="-51" w:right="-107" w:rightChars="-51"/>
              <w:jc w:val="center"/>
              <w:textAlignment w:val="auto"/>
              <w:rPr>
                <w:rFonts w:ascii="黑体" w:hAnsi="黑体" w:eastAsia="黑体"/>
                <w:szCs w:val="21"/>
              </w:rPr>
            </w:pPr>
            <w:r>
              <w:rPr>
                <w:rFonts w:hint="eastAsia" w:ascii="黑体" w:hAnsi="黑体" w:eastAsia="黑体"/>
                <w:kern w:val="0"/>
                <w:szCs w:val="21"/>
              </w:rPr>
              <w:t>社会公益组织</w:t>
            </w:r>
          </w:p>
        </w:tc>
        <w:tc>
          <w:tcPr>
            <w:tcW w:w="708"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ind w:left="-106" w:leftChars="-51" w:right="-107" w:rightChars="-51" w:hanging="1"/>
              <w:jc w:val="center"/>
              <w:textAlignment w:val="auto"/>
              <w:rPr>
                <w:rFonts w:ascii="黑体" w:hAnsi="黑体" w:eastAsia="黑体"/>
                <w:szCs w:val="21"/>
              </w:rPr>
            </w:pPr>
            <w:r>
              <w:rPr>
                <w:rFonts w:hint="eastAsia" w:ascii="黑体" w:hAnsi="黑体" w:eastAsia="黑体"/>
                <w:kern w:val="0"/>
                <w:szCs w:val="21"/>
              </w:rPr>
              <w:t>法律服务机构</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ind w:left="-63" w:leftChars="-30" w:right="-134" w:rightChars="-64"/>
              <w:jc w:val="center"/>
              <w:textAlignment w:val="auto"/>
              <w:rPr>
                <w:rFonts w:ascii="黑体" w:hAnsi="黑体" w:eastAsia="黑体"/>
                <w:szCs w:val="21"/>
              </w:rPr>
            </w:pPr>
            <w:r>
              <w:rPr>
                <w:rFonts w:hint="eastAsia" w:ascii="黑体" w:hAnsi="黑体" w:eastAsia="黑体"/>
                <w:kern w:val="0"/>
                <w:szCs w:val="21"/>
              </w:rPr>
              <w:t>其他</w:t>
            </w:r>
          </w:p>
        </w:tc>
        <w:tc>
          <w:tcPr>
            <w:tcW w:w="851"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jc w:val="center"/>
              <w:textAlignment w:val="auto"/>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pageBreakBefore w:val="0"/>
              <w:widowControl/>
              <w:kinsoku/>
              <w:overflowPunct/>
              <w:topLinePunct w:val="0"/>
              <w:autoSpaceDE/>
              <w:autoSpaceDN/>
              <w:bidi w:val="0"/>
              <w:adjustRightInd/>
              <w:spacing w:line="240" w:lineRule="auto"/>
              <w:textAlignment w:val="auto"/>
              <w:rPr>
                <w:rFonts w:ascii="黑体" w:hAnsi="黑体" w:eastAsia="黑体"/>
                <w:szCs w:val="21"/>
              </w:rPr>
            </w:pPr>
            <w:r>
              <w:rPr>
                <w:rFonts w:hint="eastAsia" w:ascii="黑体" w:hAnsi="黑体" w:eastAsia="黑体"/>
                <w:kern w:val="0"/>
                <w:szCs w:val="21"/>
              </w:rPr>
              <w:t>一、</w:t>
            </w:r>
            <w:bookmarkStart w:id="1" w:name="_Hlk66973412"/>
            <w:r>
              <w:rPr>
                <w:rFonts w:hint="eastAsia" w:ascii="黑体" w:hAnsi="黑体" w:eastAsia="黑体"/>
                <w:kern w:val="0"/>
                <w:szCs w:val="21"/>
              </w:rPr>
              <w:t>本年新收政府信息公开申请数量</w:t>
            </w:r>
            <w:bookmarkEnd w:id="1"/>
          </w:p>
        </w:tc>
        <w:tc>
          <w:tcPr>
            <w:tcW w:w="829"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pageBreakBefore w:val="0"/>
              <w:widowControl/>
              <w:kinsoku/>
              <w:overflowPunct/>
              <w:topLinePunct w:val="0"/>
              <w:autoSpaceDE/>
              <w:autoSpaceDN/>
              <w:bidi w:val="0"/>
              <w:adjustRightInd/>
              <w:spacing w:line="240" w:lineRule="auto"/>
              <w:textAlignment w:val="auto"/>
              <w:rPr>
                <w:rFonts w:ascii="黑体" w:hAnsi="黑体" w:eastAsia="黑体"/>
                <w:szCs w:val="21"/>
              </w:rPr>
            </w:pPr>
            <w:r>
              <w:rPr>
                <w:rFonts w:hint="eastAsia" w:ascii="黑体" w:hAnsi="黑体" w:eastAsia="黑体"/>
                <w:kern w:val="0"/>
                <w:szCs w:val="21"/>
              </w:rPr>
              <w:t>二、上年结转政府信息公开申请数量</w:t>
            </w:r>
          </w:p>
        </w:tc>
        <w:tc>
          <w:tcPr>
            <w:tcW w:w="829"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pPr>
              <w:pageBreakBefore w:val="0"/>
              <w:widowControl/>
              <w:kinsoku/>
              <w:overflowPunct/>
              <w:topLinePunct w:val="0"/>
              <w:autoSpaceDE/>
              <w:autoSpaceDN/>
              <w:bidi w:val="0"/>
              <w:adjustRightInd/>
              <w:spacing w:line="240" w:lineRule="auto"/>
              <w:textAlignment w:val="auto"/>
              <w:rPr>
                <w:rFonts w:ascii="黑体" w:hAnsi="黑体" w:eastAsia="黑体"/>
                <w:szCs w:val="21"/>
              </w:rPr>
            </w:pPr>
            <w:r>
              <w:rPr>
                <w:rFonts w:hint="eastAsia" w:ascii="黑体" w:hAnsi="黑体" w:eastAsia="黑体"/>
                <w:kern w:val="0"/>
                <w:szCs w:val="21"/>
              </w:rPr>
              <w:t>三、本年度办理结果</w:t>
            </w:r>
          </w:p>
        </w:tc>
        <w:tc>
          <w:tcPr>
            <w:tcW w:w="4677" w:type="dxa"/>
            <w:gridSpan w:val="2"/>
            <w:noWrap w:val="0"/>
            <w:tcMar>
              <w:left w:w="108" w:type="dxa"/>
              <w:right w:w="108" w:type="dxa"/>
            </w:tcMar>
            <w:vAlign w:val="center"/>
          </w:tcPr>
          <w:p>
            <w:pPr>
              <w:pageBreakBefore w:val="0"/>
              <w:widowControl/>
              <w:kinsoku/>
              <w:overflowPunct/>
              <w:topLinePunct w:val="0"/>
              <w:autoSpaceDE/>
              <w:autoSpaceDN/>
              <w:bidi w:val="0"/>
              <w:adjustRightInd/>
              <w:spacing w:line="240" w:lineRule="auto"/>
              <w:textAlignment w:val="auto"/>
              <w:rPr>
                <w:rFonts w:ascii="黑体" w:hAnsi="黑体" w:eastAsia="黑体"/>
                <w:szCs w:val="21"/>
              </w:rPr>
            </w:pPr>
            <w:r>
              <w:rPr>
                <w:rFonts w:hint="eastAsia" w:ascii="黑体" w:hAnsi="黑体" w:eastAsia="黑体"/>
                <w:kern w:val="0"/>
                <w:szCs w:val="21"/>
              </w:rPr>
              <w:t>（一）予以公开</w:t>
            </w:r>
          </w:p>
        </w:tc>
        <w:tc>
          <w:tcPr>
            <w:tcW w:w="829"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Cs w:val="21"/>
              </w:rPr>
            </w:pPr>
          </w:p>
        </w:tc>
        <w:tc>
          <w:tcPr>
            <w:tcW w:w="4677" w:type="dxa"/>
            <w:gridSpan w:val="2"/>
            <w:noWrap w:val="0"/>
            <w:tcMar>
              <w:left w:w="108" w:type="dxa"/>
              <w:right w:w="108" w:type="dxa"/>
            </w:tcMar>
            <w:vAlign w:val="center"/>
          </w:tcPr>
          <w:p>
            <w:pPr>
              <w:pageBreakBefore w:val="0"/>
              <w:widowControl/>
              <w:kinsoku/>
              <w:overflowPunct/>
              <w:topLinePunct w:val="0"/>
              <w:autoSpaceDE/>
              <w:autoSpaceDN/>
              <w:bidi w:val="0"/>
              <w:adjustRightInd/>
              <w:spacing w:line="240" w:lineRule="auto"/>
              <w:textAlignment w:val="auto"/>
              <w:rPr>
                <w:rFonts w:ascii="黑体" w:hAnsi="黑体" w:eastAsia="黑体"/>
                <w:szCs w:val="21"/>
              </w:rPr>
            </w:pPr>
            <w:r>
              <w:rPr>
                <w:rFonts w:hint="eastAsia" w:ascii="黑体" w:hAnsi="黑体" w:eastAsia="黑体"/>
                <w:kern w:val="0"/>
                <w:szCs w:val="21"/>
              </w:rPr>
              <w:t>（二）部分公开（</w:t>
            </w:r>
            <w:bookmarkStart w:id="2" w:name="_Hlk66973981"/>
            <w:r>
              <w:rPr>
                <w:rFonts w:hint="eastAsia" w:ascii="黑体" w:hAnsi="黑体" w:eastAsia="黑体"/>
                <w:kern w:val="0"/>
                <w:szCs w:val="21"/>
              </w:rPr>
              <w:t>区分处理的，只计这一情形，不计其他情形</w:t>
            </w:r>
            <w:bookmarkEnd w:id="2"/>
            <w:r>
              <w:rPr>
                <w:rFonts w:hint="eastAsia" w:ascii="黑体" w:hAnsi="黑体" w:eastAsia="黑体"/>
                <w:kern w:val="0"/>
                <w:szCs w:val="21"/>
              </w:rPr>
              <w:t>）</w:t>
            </w:r>
          </w:p>
        </w:tc>
        <w:tc>
          <w:tcPr>
            <w:tcW w:w="829"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Cs w:val="21"/>
              </w:rPr>
            </w:pPr>
          </w:p>
        </w:tc>
        <w:tc>
          <w:tcPr>
            <w:tcW w:w="1701" w:type="dxa"/>
            <w:vMerge w:val="restart"/>
            <w:noWrap w:val="0"/>
            <w:tcMar>
              <w:left w:w="108" w:type="dxa"/>
              <w:right w:w="108" w:type="dxa"/>
            </w:tcMar>
            <w:vAlign w:val="center"/>
          </w:tcPr>
          <w:p>
            <w:pPr>
              <w:pageBreakBefore w:val="0"/>
              <w:widowControl/>
              <w:kinsoku/>
              <w:overflowPunct/>
              <w:topLinePunct w:val="0"/>
              <w:autoSpaceDE/>
              <w:autoSpaceDN/>
              <w:bidi w:val="0"/>
              <w:adjustRightInd/>
              <w:spacing w:line="240" w:lineRule="auto"/>
              <w:ind w:left="-107" w:leftChars="-51"/>
              <w:textAlignment w:val="auto"/>
              <w:rPr>
                <w:rFonts w:ascii="黑体" w:hAnsi="黑体" w:eastAsia="黑体"/>
                <w:szCs w:val="21"/>
              </w:rPr>
            </w:pPr>
            <w:r>
              <w:rPr>
                <w:rFonts w:hint="eastAsia" w:ascii="黑体" w:hAnsi="黑体" w:eastAsia="黑体"/>
                <w:kern w:val="0"/>
                <w:szCs w:val="21"/>
              </w:rPr>
              <w:t>（三）不予公开</w:t>
            </w:r>
          </w:p>
        </w:tc>
        <w:tc>
          <w:tcPr>
            <w:tcW w:w="2976"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textAlignment w:val="auto"/>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Cs w:val="21"/>
              </w:rPr>
            </w:pPr>
          </w:p>
        </w:tc>
        <w:tc>
          <w:tcPr>
            <w:tcW w:w="1701"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Cs w:val="21"/>
              </w:rPr>
            </w:pPr>
          </w:p>
        </w:tc>
        <w:tc>
          <w:tcPr>
            <w:tcW w:w="2976"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textAlignment w:val="auto"/>
              <w:rPr>
                <w:rFonts w:ascii="仿宋_GB2312" w:hAnsi="黑体" w:eastAsia="仿宋_GB2312"/>
                <w:kern w:val="0"/>
                <w:szCs w:val="21"/>
              </w:rPr>
            </w:pPr>
            <w:r>
              <w:rPr>
                <w:rFonts w:hint="eastAsia" w:ascii="仿宋_GB2312" w:hAnsi="黑体" w:eastAsia="仿宋_GB2312"/>
                <w:kern w:val="0"/>
                <w:szCs w:val="21"/>
              </w:rPr>
              <w:t>2.</w:t>
            </w:r>
            <w:bookmarkStart w:id="3" w:name="_Hlk66974104"/>
            <w:r>
              <w:rPr>
                <w:rFonts w:hint="eastAsia" w:ascii="仿宋_GB2312" w:hAnsi="黑体" w:eastAsia="仿宋_GB2312"/>
                <w:kern w:val="0"/>
                <w:szCs w:val="21"/>
              </w:rPr>
              <w:t>其他法律行政法规禁止公开</w:t>
            </w:r>
            <w:bookmarkEnd w:id="3"/>
          </w:p>
        </w:tc>
        <w:tc>
          <w:tcPr>
            <w:tcW w:w="829"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Cs w:val="21"/>
              </w:rPr>
            </w:pPr>
          </w:p>
        </w:tc>
        <w:tc>
          <w:tcPr>
            <w:tcW w:w="1701"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Cs w:val="21"/>
              </w:rPr>
            </w:pPr>
          </w:p>
        </w:tc>
        <w:tc>
          <w:tcPr>
            <w:tcW w:w="2976"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textAlignment w:val="auto"/>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Cs w:val="21"/>
              </w:rPr>
            </w:pPr>
          </w:p>
        </w:tc>
        <w:tc>
          <w:tcPr>
            <w:tcW w:w="1701"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Cs w:val="21"/>
              </w:rPr>
            </w:pPr>
          </w:p>
        </w:tc>
        <w:tc>
          <w:tcPr>
            <w:tcW w:w="2976"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textAlignment w:val="auto"/>
              <w:rPr>
                <w:rFonts w:ascii="仿宋_GB2312" w:hAnsi="黑体" w:eastAsia="仿宋_GB2312"/>
                <w:kern w:val="0"/>
                <w:szCs w:val="21"/>
              </w:rPr>
            </w:pPr>
            <w:r>
              <w:rPr>
                <w:rFonts w:hint="eastAsia" w:ascii="仿宋_GB2312" w:hAnsi="黑体" w:eastAsia="仿宋_GB2312"/>
                <w:kern w:val="0"/>
                <w:szCs w:val="21"/>
              </w:rPr>
              <w:t>4.</w:t>
            </w:r>
            <w:bookmarkStart w:id="4" w:name="_Hlk66974290"/>
            <w:r>
              <w:rPr>
                <w:rFonts w:hint="eastAsia" w:ascii="仿宋_GB2312" w:hAnsi="黑体" w:eastAsia="仿宋_GB2312"/>
                <w:kern w:val="0"/>
                <w:szCs w:val="21"/>
              </w:rPr>
              <w:t>保护第三方合法权益</w:t>
            </w:r>
            <w:bookmarkEnd w:id="4"/>
          </w:p>
        </w:tc>
        <w:tc>
          <w:tcPr>
            <w:tcW w:w="829"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Cs w:val="21"/>
              </w:rPr>
            </w:pPr>
          </w:p>
        </w:tc>
        <w:tc>
          <w:tcPr>
            <w:tcW w:w="1701"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Cs w:val="21"/>
              </w:rPr>
            </w:pPr>
          </w:p>
        </w:tc>
        <w:tc>
          <w:tcPr>
            <w:tcW w:w="2976"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textAlignment w:val="auto"/>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Cs w:val="21"/>
              </w:rPr>
            </w:pPr>
          </w:p>
        </w:tc>
        <w:tc>
          <w:tcPr>
            <w:tcW w:w="1701"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Cs w:val="21"/>
              </w:rPr>
            </w:pPr>
          </w:p>
        </w:tc>
        <w:tc>
          <w:tcPr>
            <w:tcW w:w="2976"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textAlignment w:val="auto"/>
              <w:rPr>
                <w:rFonts w:ascii="仿宋_GB2312" w:hAnsi="黑体" w:eastAsia="仿宋_GB2312"/>
                <w:kern w:val="0"/>
                <w:szCs w:val="21"/>
              </w:rPr>
            </w:pPr>
            <w:r>
              <w:rPr>
                <w:rFonts w:hint="eastAsia" w:ascii="仿宋_GB2312" w:hAnsi="黑体" w:eastAsia="仿宋_GB2312"/>
                <w:kern w:val="0"/>
                <w:szCs w:val="21"/>
              </w:rPr>
              <w:t>6.</w:t>
            </w:r>
            <w:bookmarkStart w:id="5" w:name="_Hlk66974555"/>
            <w:r>
              <w:rPr>
                <w:rFonts w:hint="eastAsia" w:ascii="仿宋_GB2312" w:hAnsi="黑体" w:eastAsia="仿宋_GB2312"/>
                <w:kern w:val="0"/>
                <w:szCs w:val="21"/>
              </w:rPr>
              <w:t>属于四类过程性信息</w:t>
            </w:r>
            <w:bookmarkEnd w:id="5"/>
          </w:p>
        </w:tc>
        <w:tc>
          <w:tcPr>
            <w:tcW w:w="829"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Cs w:val="21"/>
              </w:rPr>
            </w:pPr>
          </w:p>
        </w:tc>
        <w:tc>
          <w:tcPr>
            <w:tcW w:w="1701"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Cs w:val="21"/>
              </w:rPr>
            </w:pPr>
          </w:p>
        </w:tc>
        <w:tc>
          <w:tcPr>
            <w:tcW w:w="2976"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textAlignment w:val="auto"/>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Cs w:val="21"/>
              </w:rPr>
            </w:pPr>
          </w:p>
        </w:tc>
        <w:tc>
          <w:tcPr>
            <w:tcW w:w="1701"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Cs w:val="21"/>
              </w:rPr>
            </w:pPr>
          </w:p>
        </w:tc>
        <w:tc>
          <w:tcPr>
            <w:tcW w:w="2976"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textAlignment w:val="auto"/>
              <w:rPr>
                <w:rFonts w:ascii="仿宋_GB2312" w:hAnsi="黑体" w:eastAsia="仿宋_GB2312"/>
                <w:kern w:val="0"/>
                <w:szCs w:val="21"/>
              </w:rPr>
            </w:pPr>
            <w:r>
              <w:rPr>
                <w:rFonts w:hint="eastAsia" w:ascii="仿宋_GB2312" w:hAnsi="黑体" w:eastAsia="仿宋_GB2312"/>
                <w:kern w:val="0"/>
                <w:szCs w:val="21"/>
              </w:rPr>
              <w:t>8.</w:t>
            </w:r>
            <w:bookmarkStart w:id="6" w:name="_Hlk66975211"/>
            <w:r>
              <w:rPr>
                <w:rFonts w:hint="eastAsia" w:ascii="仿宋_GB2312" w:hAnsi="黑体" w:eastAsia="仿宋_GB2312"/>
                <w:kern w:val="0"/>
                <w:szCs w:val="21"/>
              </w:rPr>
              <w:t>属于行政查询事项</w:t>
            </w:r>
            <w:bookmarkEnd w:id="6"/>
          </w:p>
        </w:tc>
        <w:tc>
          <w:tcPr>
            <w:tcW w:w="829"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Cs w:val="21"/>
              </w:rPr>
            </w:pPr>
          </w:p>
        </w:tc>
        <w:tc>
          <w:tcPr>
            <w:tcW w:w="1701" w:type="dxa"/>
            <w:vMerge w:val="restart"/>
            <w:noWrap w:val="0"/>
            <w:tcMar>
              <w:left w:w="108" w:type="dxa"/>
              <w:right w:w="108" w:type="dxa"/>
            </w:tcMar>
            <w:vAlign w:val="center"/>
          </w:tcPr>
          <w:p>
            <w:pPr>
              <w:pageBreakBefore w:val="0"/>
              <w:widowControl/>
              <w:kinsoku/>
              <w:overflowPunct/>
              <w:topLinePunct w:val="0"/>
              <w:autoSpaceDE/>
              <w:autoSpaceDN/>
              <w:bidi w:val="0"/>
              <w:adjustRightInd/>
              <w:spacing w:line="240" w:lineRule="auto"/>
              <w:ind w:left="-107" w:leftChars="-51"/>
              <w:textAlignment w:val="auto"/>
              <w:rPr>
                <w:rFonts w:ascii="黑体" w:hAnsi="黑体" w:eastAsia="黑体"/>
                <w:szCs w:val="21"/>
              </w:rPr>
            </w:pPr>
            <w:r>
              <w:rPr>
                <w:rFonts w:hint="eastAsia" w:ascii="黑体" w:hAnsi="黑体" w:eastAsia="黑体"/>
                <w:kern w:val="0"/>
                <w:szCs w:val="21"/>
              </w:rPr>
              <w:t>（四）无法提供</w:t>
            </w:r>
          </w:p>
        </w:tc>
        <w:tc>
          <w:tcPr>
            <w:tcW w:w="2976"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textAlignment w:val="auto"/>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Cs w:val="21"/>
              </w:rPr>
            </w:pPr>
          </w:p>
        </w:tc>
        <w:tc>
          <w:tcPr>
            <w:tcW w:w="1701"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ind w:left="-107" w:leftChars="-51"/>
              <w:textAlignment w:val="auto"/>
              <w:rPr>
                <w:rFonts w:ascii="黑体" w:hAnsi="黑体" w:eastAsia="黑体"/>
                <w:szCs w:val="21"/>
              </w:rPr>
            </w:pPr>
          </w:p>
        </w:tc>
        <w:tc>
          <w:tcPr>
            <w:tcW w:w="2976"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textAlignment w:val="auto"/>
              <w:rPr>
                <w:rFonts w:ascii="仿宋_GB2312" w:hAnsi="黑体" w:eastAsia="仿宋_GB2312"/>
                <w:kern w:val="0"/>
                <w:szCs w:val="21"/>
              </w:rPr>
            </w:pPr>
            <w:r>
              <w:rPr>
                <w:rFonts w:hint="eastAsia" w:ascii="仿宋_GB2312" w:hAnsi="黑体" w:eastAsia="仿宋_GB2312"/>
                <w:kern w:val="0"/>
                <w:szCs w:val="21"/>
              </w:rPr>
              <w:t>2.</w:t>
            </w:r>
            <w:bookmarkStart w:id="7" w:name="_Hlk66975392"/>
            <w:r>
              <w:rPr>
                <w:rFonts w:hint="eastAsia" w:ascii="仿宋_GB2312" w:hAnsi="黑体" w:eastAsia="仿宋_GB2312"/>
                <w:kern w:val="0"/>
                <w:szCs w:val="21"/>
              </w:rPr>
              <w:t>没有现成信息需要另行制作</w:t>
            </w:r>
            <w:bookmarkEnd w:id="7"/>
          </w:p>
        </w:tc>
        <w:tc>
          <w:tcPr>
            <w:tcW w:w="829"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Cs w:val="21"/>
              </w:rPr>
            </w:pPr>
          </w:p>
        </w:tc>
        <w:tc>
          <w:tcPr>
            <w:tcW w:w="1701"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ind w:left="-107" w:leftChars="-51"/>
              <w:textAlignment w:val="auto"/>
              <w:rPr>
                <w:rFonts w:ascii="黑体" w:hAnsi="黑体" w:eastAsia="黑体"/>
                <w:szCs w:val="21"/>
              </w:rPr>
            </w:pPr>
          </w:p>
        </w:tc>
        <w:tc>
          <w:tcPr>
            <w:tcW w:w="2976"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textAlignment w:val="auto"/>
              <w:rPr>
                <w:rFonts w:ascii="仿宋_GB2312" w:hAnsi="黑体" w:eastAsia="仿宋_GB2312"/>
                <w:kern w:val="0"/>
                <w:szCs w:val="21"/>
              </w:rPr>
            </w:pPr>
            <w:r>
              <w:rPr>
                <w:rFonts w:hint="eastAsia" w:ascii="仿宋_GB2312" w:hAnsi="黑体" w:eastAsia="仿宋_GB2312"/>
                <w:kern w:val="0"/>
                <w:szCs w:val="21"/>
              </w:rPr>
              <w:t>3.</w:t>
            </w:r>
            <w:bookmarkStart w:id="8" w:name="_Hlk66975466"/>
            <w:r>
              <w:rPr>
                <w:rFonts w:hint="eastAsia" w:ascii="仿宋_GB2312" w:hAnsi="黑体" w:eastAsia="仿宋_GB2312"/>
                <w:kern w:val="0"/>
                <w:szCs w:val="21"/>
              </w:rPr>
              <w:t>补正后申请内容仍不明确</w:t>
            </w:r>
            <w:bookmarkEnd w:id="8"/>
          </w:p>
        </w:tc>
        <w:tc>
          <w:tcPr>
            <w:tcW w:w="829"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Cs w:val="21"/>
              </w:rPr>
            </w:pPr>
          </w:p>
        </w:tc>
        <w:tc>
          <w:tcPr>
            <w:tcW w:w="1701" w:type="dxa"/>
            <w:vMerge w:val="restart"/>
            <w:noWrap w:val="0"/>
            <w:tcMar>
              <w:left w:w="108" w:type="dxa"/>
              <w:right w:w="108" w:type="dxa"/>
            </w:tcMar>
            <w:vAlign w:val="center"/>
          </w:tcPr>
          <w:p>
            <w:pPr>
              <w:pageBreakBefore w:val="0"/>
              <w:widowControl/>
              <w:kinsoku/>
              <w:overflowPunct/>
              <w:topLinePunct w:val="0"/>
              <w:autoSpaceDE/>
              <w:autoSpaceDN/>
              <w:bidi w:val="0"/>
              <w:adjustRightInd/>
              <w:spacing w:line="240" w:lineRule="auto"/>
              <w:ind w:left="-107" w:leftChars="-51"/>
              <w:textAlignment w:val="auto"/>
              <w:rPr>
                <w:rFonts w:ascii="黑体" w:hAnsi="黑体" w:eastAsia="黑体"/>
                <w:szCs w:val="21"/>
              </w:rPr>
            </w:pPr>
            <w:r>
              <w:rPr>
                <w:rFonts w:hint="eastAsia" w:ascii="黑体" w:hAnsi="黑体" w:eastAsia="黑体"/>
                <w:kern w:val="0"/>
                <w:szCs w:val="21"/>
              </w:rPr>
              <w:t>（五）不予处理</w:t>
            </w:r>
          </w:p>
        </w:tc>
        <w:tc>
          <w:tcPr>
            <w:tcW w:w="2976"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textAlignment w:val="auto"/>
              <w:rPr>
                <w:rFonts w:ascii="仿宋_GB2312" w:hAnsi="黑体" w:eastAsia="仿宋_GB2312"/>
                <w:kern w:val="0"/>
                <w:szCs w:val="21"/>
              </w:rPr>
            </w:pPr>
            <w:r>
              <w:rPr>
                <w:rFonts w:hint="eastAsia" w:ascii="仿宋_GB2312" w:hAnsi="黑体" w:eastAsia="仿宋_GB2312"/>
                <w:kern w:val="0"/>
                <w:szCs w:val="21"/>
              </w:rPr>
              <w:t>1.</w:t>
            </w:r>
            <w:bookmarkStart w:id="9" w:name="_Hlk66975537"/>
            <w:r>
              <w:rPr>
                <w:rFonts w:hint="eastAsia" w:ascii="仿宋_GB2312" w:hAnsi="黑体" w:eastAsia="仿宋_GB2312"/>
                <w:kern w:val="0"/>
                <w:szCs w:val="21"/>
              </w:rPr>
              <w:t>信访举报投诉类申请</w:t>
            </w:r>
            <w:bookmarkEnd w:id="9"/>
          </w:p>
        </w:tc>
        <w:tc>
          <w:tcPr>
            <w:tcW w:w="829"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Cs w:val="21"/>
              </w:rPr>
            </w:pPr>
          </w:p>
        </w:tc>
        <w:tc>
          <w:tcPr>
            <w:tcW w:w="1701"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Cs w:val="21"/>
              </w:rPr>
            </w:pPr>
          </w:p>
        </w:tc>
        <w:tc>
          <w:tcPr>
            <w:tcW w:w="2976"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textAlignment w:val="auto"/>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Cs w:val="21"/>
              </w:rPr>
            </w:pPr>
          </w:p>
        </w:tc>
        <w:tc>
          <w:tcPr>
            <w:tcW w:w="1701"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Cs w:val="21"/>
              </w:rPr>
            </w:pPr>
          </w:p>
        </w:tc>
        <w:tc>
          <w:tcPr>
            <w:tcW w:w="2976"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textAlignment w:val="auto"/>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Cs w:val="21"/>
              </w:rPr>
            </w:pPr>
          </w:p>
        </w:tc>
        <w:tc>
          <w:tcPr>
            <w:tcW w:w="1701"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Cs w:val="21"/>
              </w:rPr>
            </w:pPr>
          </w:p>
        </w:tc>
        <w:tc>
          <w:tcPr>
            <w:tcW w:w="2976"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textAlignment w:val="auto"/>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Cs w:val="21"/>
              </w:rPr>
            </w:pPr>
          </w:p>
        </w:tc>
        <w:tc>
          <w:tcPr>
            <w:tcW w:w="1701"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Cs w:val="21"/>
              </w:rPr>
            </w:pPr>
          </w:p>
        </w:tc>
        <w:tc>
          <w:tcPr>
            <w:tcW w:w="2976"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textAlignment w:val="auto"/>
              <w:rPr>
                <w:rFonts w:ascii="仿宋_GB2312" w:hAnsi="黑体" w:eastAsia="仿宋_GB2312"/>
                <w:szCs w:val="21"/>
              </w:rPr>
            </w:pPr>
            <w:r>
              <w:rPr>
                <w:rFonts w:hint="eastAsia" w:ascii="仿宋_GB2312" w:hAnsi="黑体" w:eastAsia="仿宋_GB2312"/>
                <w:kern w:val="0"/>
                <w:szCs w:val="21"/>
              </w:rPr>
              <w:t>5.要求行政机关确认或重新出具已获取信息</w:t>
            </w:r>
          </w:p>
        </w:tc>
        <w:tc>
          <w:tcPr>
            <w:tcW w:w="829"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Cs w:val="21"/>
              </w:rPr>
            </w:pPr>
          </w:p>
        </w:tc>
        <w:tc>
          <w:tcPr>
            <w:tcW w:w="1701" w:type="dxa"/>
            <w:vMerge w:val="restart"/>
            <w:noWrap w:val="0"/>
            <w:tcMar>
              <w:left w:w="108" w:type="dxa"/>
              <w:right w:w="108" w:type="dxa"/>
            </w:tcMar>
            <w:vAlign w:val="center"/>
          </w:tcPr>
          <w:p>
            <w:pPr>
              <w:pageBreakBefore w:val="0"/>
              <w:widowControl/>
              <w:kinsoku/>
              <w:overflowPunct/>
              <w:topLinePunct w:val="0"/>
              <w:autoSpaceDE/>
              <w:autoSpaceDN/>
              <w:bidi w:val="0"/>
              <w:adjustRightInd/>
              <w:spacing w:line="240" w:lineRule="auto"/>
              <w:textAlignment w:val="auto"/>
              <w:rPr>
                <w:rFonts w:ascii="黑体" w:hAnsi="黑体" w:eastAsia="黑体"/>
                <w:kern w:val="0"/>
                <w:szCs w:val="21"/>
              </w:rPr>
            </w:pPr>
            <w:r>
              <w:rPr>
                <w:rFonts w:hint="eastAsia" w:ascii="黑体" w:hAnsi="黑体" w:eastAsia="黑体"/>
                <w:kern w:val="0"/>
                <w:szCs w:val="21"/>
              </w:rPr>
              <w:t>（六）其他处理</w:t>
            </w:r>
          </w:p>
        </w:tc>
        <w:tc>
          <w:tcPr>
            <w:tcW w:w="2976" w:type="dxa"/>
            <w:noWrap w:val="0"/>
            <w:vAlign w:val="center"/>
          </w:tcPr>
          <w:p>
            <w:pPr>
              <w:pageBreakBefore w:val="0"/>
              <w:widowControl/>
              <w:kinsoku/>
              <w:overflowPunct/>
              <w:topLinePunct w:val="0"/>
              <w:autoSpaceDE/>
              <w:autoSpaceDN/>
              <w:bidi w:val="0"/>
              <w:adjustRightInd/>
              <w:spacing w:line="240" w:lineRule="auto"/>
              <w:textAlignment w:val="auto"/>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Cs w:val="21"/>
              </w:rPr>
            </w:pPr>
          </w:p>
        </w:tc>
        <w:tc>
          <w:tcPr>
            <w:tcW w:w="1701" w:type="dxa"/>
            <w:vMerge w:val="continue"/>
            <w:noWrap w:val="0"/>
            <w:tcMar>
              <w:left w:w="108" w:type="dxa"/>
              <w:right w:w="108" w:type="dxa"/>
            </w:tcMar>
            <w:vAlign w:val="center"/>
          </w:tcPr>
          <w:p>
            <w:pPr>
              <w:pageBreakBefore w:val="0"/>
              <w:widowControl/>
              <w:kinsoku/>
              <w:overflowPunct/>
              <w:topLinePunct w:val="0"/>
              <w:autoSpaceDE/>
              <w:autoSpaceDN/>
              <w:bidi w:val="0"/>
              <w:adjustRightInd/>
              <w:spacing w:line="240" w:lineRule="auto"/>
              <w:textAlignment w:val="auto"/>
              <w:rPr>
                <w:rFonts w:ascii="黑体" w:hAnsi="黑体" w:eastAsia="黑体"/>
                <w:kern w:val="0"/>
                <w:szCs w:val="21"/>
              </w:rPr>
            </w:pPr>
          </w:p>
        </w:tc>
        <w:tc>
          <w:tcPr>
            <w:tcW w:w="2976" w:type="dxa"/>
            <w:noWrap w:val="0"/>
            <w:vAlign w:val="center"/>
          </w:tcPr>
          <w:p>
            <w:pPr>
              <w:pageBreakBefore w:val="0"/>
              <w:widowControl/>
              <w:kinsoku/>
              <w:overflowPunct/>
              <w:topLinePunct w:val="0"/>
              <w:autoSpaceDE/>
              <w:autoSpaceDN/>
              <w:bidi w:val="0"/>
              <w:adjustRightInd/>
              <w:spacing w:line="240" w:lineRule="auto"/>
              <w:textAlignment w:val="auto"/>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Cs w:val="21"/>
              </w:rPr>
            </w:pPr>
          </w:p>
        </w:tc>
        <w:tc>
          <w:tcPr>
            <w:tcW w:w="1701" w:type="dxa"/>
            <w:vMerge w:val="continue"/>
            <w:noWrap w:val="0"/>
            <w:tcMar>
              <w:left w:w="108" w:type="dxa"/>
              <w:right w:w="108" w:type="dxa"/>
            </w:tcMar>
            <w:vAlign w:val="center"/>
          </w:tcPr>
          <w:p>
            <w:pPr>
              <w:pageBreakBefore w:val="0"/>
              <w:widowControl/>
              <w:kinsoku/>
              <w:overflowPunct/>
              <w:topLinePunct w:val="0"/>
              <w:autoSpaceDE/>
              <w:autoSpaceDN/>
              <w:bidi w:val="0"/>
              <w:adjustRightInd/>
              <w:spacing w:line="240" w:lineRule="auto"/>
              <w:textAlignment w:val="auto"/>
              <w:rPr>
                <w:rFonts w:ascii="黑体" w:hAnsi="黑体" w:eastAsia="黑体"/>
                <w:kern w:val="0"/>
                <w:szCs w:val="21"/>
              </w:rPr>
            </w:pPr>
          </w:p>
        </w:tc>
        <w:tc>
          <w:tcPr>
            <w:tcW w:w="2976" w:type="dxa"/>
            <w:noWrap w:val="0"/>
            <w:vAlign w:val="center"/>
          </w:tcPr>
          <w:p>
            <w:pPr>
              <w:pageBreakBefore w:val="0"/>
              <w:widowControl/>
              <w:kinsoku/>
              <w:overflowPunct/>
              <w:topLinePunct w:val="0"/>
              <w:autoSpaceDE/>
              <w:autoSpaceDN/>
              <w:bidi w:val="0"/>
              <w:adjustRightInd/>
              <w:spacing w:line="240" w:lineRule="auto"/>
              <w:textAlignment w:val="auto"/>
              <w:rPr>
                <w:rFonts w:ascii="仿宋_GB2312" w:hAnsi="黑体" w:eastAsia="仿宋_GB2312"/>
                <w:kern w:val="0"/>
                <w:szCs w:val="21"/>
              </w:rPr>
            </w:pPr>
            <w:r>
              <w:rPr>
                <w:rFonts w:hint="eastAsia" w:ascii="仿宋_GB2312" w:hAnsi="楷体" w:eastAsia="仿宋_GB2312"/>
              </w:rPr>
              <w:t>3.其他</w:t>
            </w:r>
          </w:p>
        </w:tc>
        <w:tc>
          <w:tcPr>
            <w:tcW w:w="829"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Cs w:val="21"/>
              </w:rPr>
            </w:pPr>
          </w:p>
        </w:tc>
        <w:tc>
          <w:tcPr>
            <w:tcW w:w="4677" w:type="dxa"/>
            <w:gridSpan w:val="2"/>
            <w:noWrap w:val="0"/>
            <w:tcMar>
              <w:left w:w="108" w:type="dxa"/>
              <w:right w:w="108" w:type="dxa"/>
            </w:tcMar>
            <w:vAlign w:val="center"/>
          </w:tcPr>
          <w:p>
            <w:pPr>
              <w:pageBreakBefore w:val="0"/>
              <w:widowControl/>
              <w:kinsoku/>
              <w:overflowPunct/>
              <w:topLinePunct w:val="0"/>
              <w:autoSpaceDE/>
              <w:autoSpaceDN/>
              <w:bidi w:val="0"/>
              <w:adjustRightInd/>
              <w:spacing w:line="240" w:lineRule="auto"/>
              <w:textAlignment w:val="auto"/>
              <w:rPr>
                <w:rFonts w:ascii="黑体" w:hAnsi="黑体" w:eastAsia="黑体"/>
                <w:kern w:val="0"/>
                <w:szCs w:val="21"/>
              </w:rPr>
            </w:pPr>
            <w:r>
              <w:rPr>
                <w:rFonts w:hint="eastAsia" w:ascii="黑体" w:hAnsi="黑体" w:eastAsia="黑体"/>
                <w:kern w:val="0"/>
                <w:szCs w:val="21"/>
              </w:rPr>
              <w:t>（七）总计</w:t>
            </w:r>
          </w:p>
        </w:tc>
        <w:tc>
          <w:tcPr>
            <w:tcW w:w="829"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pPr>
              <w:pageBreakBefore w:val="0"/>
              <w:widowControl/>
              <w:kinsoku/>
              <w:overflowPunct/>
              <w:topLinePunct w:val="0"/>
              <w:autoSpaceDE/>
              <w:autoSpaceDN/>
              <w:bidi w:val="0"/>
              <w:adjustRightInd/>
              <w:spacing w:line="240" w:lineRule="auto"/>
              <w:textAlignment w:val="auto"/>
              <w:rPr>
                <w:rFonts w:ascii="黑体" w:hAnsi="黑体" w:eastAsia="黑体"/>
                <w:kern w:val="0"/>
                <w:szCs w:val="21"/>
              </w:rPr>
            </w:pPr>
            <w:r>
              <w:rPr>
                <w:rFonts w:hint="eastAsia" w:ascii="黑体" w:hAnsi="黑体" w:eastAsia="黑体"/>
                <w:kern w:val="0"/>
                <w:szCs w:val="21"/>
              </w:rPr>
              <w:t>四、结转下年度继续办理</w:t>
            </w:r>
          </w:p>
        </w:tc>
        <w:tc>
          <w:tcPr>
            <w:tcW w:w="829"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bl>
    <w:p>
      <w:pPr>
        <w:pageBreakBefore w:val="0"/>
        <w:kinsoku/>
        <w:overflowPunct/>
        <w:topLinePunct w:val="0"/>
        <w:autoSpaceDE/>
        <w:autoSpaceDN/>
        <w:bidi w:val="0"/>
        <w:adjustRightInd/>
        <w:spacing w:line="240" w:lineRule="auto"/>
        <w:ind w:firstLine="640" w:firstLineChars="200"/>
        <w:jc w:val="left"/>
        <w:textAlignment w:val="auto"/>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CN"/>
        </w:rPr>
        <w:t>四、</w:t>
      </w:r>
      <w:r>
        <w:rPr>
          <w:rFonts w:hint="eastAsia" w:ascii="CESI黑体-GB2312" w:hAnsi="CESI黑体-GB2312" w:eastAsia="CESI黑体-GB2312" w:cs="CESI黑体-GB2312"/>
          <w:sz w:val="32"/>
          <w:szCs w:val="32"/>
        </w:rPr>
        <w:t>政府信息公开行政复议、行政诉讼情况</w:t>
      </w: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pageBreakBefore w:val="0"/>
              <w:widowControl/>
              <w:kinsoku/>
              <w:overflowPunct/>
              <w:topLinePunct w:val="0"/>
              <w:autoSpaceDE/>
              <w:autoSpaceDN/>
              <w:bidi w:val="0"/>
              <w:adjustRightInd/>
              <w:spacing w:line="240" w:lineRule="auto"/>
              <w:ind w:left="-149" w:leftChars="-71" w:right="-170" w:rightChars="-81"/>
              <w:jc w:val="center"/>
              <w:textAlignment w:val="auto"/>
              <w:rPr>
                <w:rFonts w:ascii="黑体" w:hAnsi="黑体" w:eastAsia="黑体"/>
                <w:kern w:val="0"/>
                <w:sz w:val="20"/>
                <w:szCs w:val="20"/>
              </w:rPr>
            </w:pPr>
            <w:r>
              <w:rPr>
                <w:rFonts w:ascii="黑体" w:hAnsi="黑体" w:eastAsia="黑体"/>
                <w:kern w:val="0"/>
                <w:sz w:val="20"/>
                <w:szCs w:val="20"/>
              </w:rPr>
              <w:t>结果</w:t>
            </w:r>
          </w:p>
          <w:p>
            <w:pPr>
              <w:pageBreakBefore w:val="0"/>
              <w:widowControl/>
              <w:kinsoku/>
              <w:overflowPunct/>
              <w:topLinePunct w:val="0"/>
              <w:autoSpaceDE/>
              <w:autoSpaceDN/>
              <w:bidi w:val="0"/>
              <w:adjustRightInd/>
              <w:spacing w:line="240" w:lineRule="auto"/>
              <w:ind w:left="-149" w:leftChars="-71" w:right="-170" w:rightChars="-81"/>
              <w:jc w:val="center"/>
              <w:textAlignment w:val="auto"/>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pageBreakBefore w:val="0"/>
              <w:widowControl/>
              <w:kinsoku/>
              <w:overflowPunct/>
              <w:topLinePunct w:val="0"/>
              <w:autoSpaceDE/>
              <w:autoSpaceDN/>
              <w:bidi w:val="0"/>
              <w:adjustRightInd/>
              <w:spacing w:line="240" w:lineRule="auto"/>
              <w:ind w:left="-43" w:leftChars="-21" w:right="-132" w:rightChars="-63" w:hanging="1"/>
              <w:jc w:val="center"/>
              <w:textAlignment w:val="auto"/>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pageBreakBefore w:val="0"/>
              <w:widowControl/>
              <w:kinsoku/>
              <w:overflowPunct/>
              <w:topLinePunct w:val="0"/>
              <w:autoSpaceDE/>
              <w:autoSpaceDN/>
              <w:bidi w:val="0"/>
              <w:adjustRightInd/>
              <w:spacing w:line="240" w:lineRule="auto"/>
              <w:ind w:left="-82" w:leftChars="-39" w:right="-97" w:rightChars="-46"/>
              <w:jc w:val="center"/>
              <w:textAlignment w:val="auto"/>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pageBreakBefore w:val="0"/>
              <w:widowControl/>
              <w:kinsoku/>
              <w:overflowPunct/>
              <w:topLinePunct w:val="0"/>
              <w:autoSpaceDE/>
              <w:autoSpaceDN/>
              <w:bidi w:val="0"/>
              <w:adjustRightInd/>
              <w:spacing w:line="240" w:lineRule="auto"/>
              <w:ind w:left="-118" w:leftChars="-56" w:right="-118" w:rightChars="-56"/>
              <w:jc w:val="center"/>
              <w:textAlignment w:val="auto"/>
              <w:rPr>
                <w:rFonts w:ascii="黑体" w:hAnsi="黑体" w:eastAsia="黑体"/>
                <w:kern w:val="0"/>
                <w:sz w:val="20"/>
                <w:szCs w:val="20"/>
              </w:rPr>
            </w:pPr>
            <w:r>
              <w:rPr>
                <w:rFonts w:ascii="黑体" w:hAnsi="黑体" w:eastAsia="黑体"/>
                <w:kern w:val="0"/>
                <w:sz w:val="20"/>
                <w:szCs w:val="20"/>
              </w:rPr>
              <w:t>尚未</w:t>
            </w:r>
          </w:p>
          <w:p>
            <w:pPr>
              <w:pageBreakBefore w:val="0"/>
              <w:widowControl/>
              <w:kinsoku/>
              <w:overflowPunct/>
              <w:topLinePunct w:val="0"/>
              <w:autoSpaceDE/>
              <w:autoSpaceDN/>
              <w:bidi w:val="0"/>
              <w:adjustRightInd/>
              <w:spacing w:line="240" w:lineRule="auto"/>
              <w:ind w:left="-118" w:leftChars="-56" w:right="-118" w:rightChars="-56"/>
              <w:jc w:val="center"/>
              <w:textAlignment w:val="auto"/>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ascii="黑体" w:hAnsi="黑体" w:eastAsia="黑体"/>
                <w:kern w:val="0"/>
                <w:sz w:val="20"/>
                <w:szCs w:val="20"/>
              </w:rPr>
            </w:pPr>
            <w:r>
              <w:rPr>
                <w:rFonts w:ascii="黑体" w:hAnsi="黑体" w:eastAsia="黑体"/>
                <w:kern w:val="0"/>
                <w:sz w:val="20"/>
                <w:szCs w:val="20"/>
              </w:rPr>
              <w:t>总</w:t>
            </w:r>
          </w:p>
          <w:p>
            <w:pPr>
              <w:pageBreakBefore w:val="0"/>
              <w:widowControl/>
              <w:kinsoku/>
              <w:overflowPunct/>
              <w:topLinePunct w:val="0"/>
              <w:autoSpaceDE/>
              <w:autoSpaceDN/>
              <w:bidi w:val="0"/>
              <w:adjustRightInd/>
              <w:spacing w:line="240" w:lineRule="auto"/>
              <w:jc w:val="center"/>
              <w:textAlignment w:val="auto"/>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ascii="黑体" w:hAnsi="黑体" w:eastAsia="黑体"/>
              </w:rPr>
            </w:pPr>
            <w:bookmarkStart w:id="10" w:name="_Hlk67039688"/>
            <w:r>
              <w:rPr>
                <w:rFonts w:ascii="黑体" w:hAnsi="黑体" w:eastAsia="黑体"/>
                <w:kern w:val="0"/>
                <w:sz w:val="20"/>
                <w:szCs w:val="20"/>
              </w:rPr>
              <w:t>复议后起诉</w:t>
            </w:r>
            <w:bookmarkEnd w:id="10"/>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pageBreakBefore w:val="0"/>
              <w:kinsoku/>
              <w:overflowPunct/>
              <w:topLinePunct w:val="0"/>
              <w:autoSpaceDE/>
              <w:autoSpaceDN/>
              <w:bidi w:val="0"/>
              <w:adjustRightInd/>
              <w:spacing w:line="240" w:lineRule="auto"/>
              <w:textAlignment w:val="auto"/>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pageBreakBefore w:val="0"/>
              <w:widowControl/>
              <w:kinsoku/>
              <w:overflowPunct/>
              <w:topLinePunct w:val="0"/>
              <w:autoSpaceDE/>
              <w:autoSpaceDN/>
              <w:bidi w:val="0"/>
              <w:adjustRightInd/>
              <w:spacing w:line="240" w:lineRule="auto"/>
              <w:ind w:left="-105" w:leftChars="-50" w:right="-126" w:rightChars="-60"/>
              <w:jc w:val="center"/>
              <w:textAlignment w:val="auto"/>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pageBreakBefore w:val="0"/>
              <w:widowControl/>
              <w:kinsoku/>
              <w:overflowPunct/>
              <w:topLinePunct w:val="0"/>
              <w:autoSpaceDE/>
              <w:autoSpaceDN/>
              <w:bidi w:val="0"/>
              <w:adjustRightInd/>
              <w:spacing w:line="240" w:lineRule="auto"/>
              <w:ind w:left="-86" w:leftChars="-41" w:right="-88" w:rightChars="-42"/>
              <w:jc w:val="center"/>
              <w:textAlignment w:val="auto"/>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pageBreakBefore w:val="0"/>
              <w:widowControl/>
              <w:kinsoku/>
              <w:overflowPunct/>
              <w:topLinePunct w:val="0"/>
              <w:autoSpaceDE/>
              <w:autoSpaceDN/>
              <w:bidi w:val="0"/>
              <w:adjustRightInd/>
              <w:spacing w:line="240" w:lineRule="auto"/>
              <w:ind w:left="-126" w:leftChars="-60" w:right="-136" w:rightChars="-65"/>
              <w:jc w:val="center"/>
              <w:textAlignment w:val="auto"/>
              <w:rPr>
                <w:rFonts w:ascii="黑体" w:hAnsi="黑体" w:eastAsia="黑体"/>
                <w:kern w:val="0"/>
                <w:sz w:val="20"/>
                <w:szCs w:val="20"/>
              </w:rPr>
            </w:pPr>
            <w:r>
              <w:rPr>
                <w:rFonts w:ascii="黑体" w:hAnsi="黑体" w:eastAsia="黑体"/>
                <w:kern w:val="0"/>
                <w:sz w:val="20"/>
                <w:szCs w:val="20"/>
              </w:rPr>
              <w:t>其他</w:t>
            </w:r>
          </w:p>
          <w:p>
            <w:pPr>
              <w:pageBreakBefore w:val="0"/>
              <w:widowControl/>
              <w:kinsoku/>
              <w:overflowPunct/>
              <w:topLinePunct w:val="0"/>
              <w:autoSpaceDE/>
              <w:autoSpaceDN/>
              <w:bidi w:val="0"/>
              <w:adjustRightInd/>
              <w:spacing w:line="240" w:lineRule="auto"/>
              <w:ind w:left="-126" w:leftChars="-60" w:right="-136" w:rightChars="-65"/>
              <w:jc w:val="center"/>
              <w:textAlignment w:val="auto"/>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pageBreakBefore w:val="0"/>
              <w:widowControl/>
              <w:kinsoku/>
              <w:overflowPunct/>
              <w:topLinePunct w:val="0"/>
              <w:autoSpaceDE/>
              <w:autoSpaceDN/>
              <w:bidi w:val="0"/>
              <w:adjustRightInd/>
              <w:spacing w:line="240" w:lineRule="auto"/>
              <w:ind w:left="-164" w:leftChars="-78" w:right="-153" w:rightChars="-73"/>
              <w:jc w:val="center"/>
              <w:textAlignment w:val="auto"/>
              <w:rPr>
                <w:rFonts w:ascii="黑体" w:hAnsi="黑体" w:eastAsia="黑体"/>
                <w:kern w:val="0"/>
                <w:sz w:val="20"/>
                <w:szCs w:val="20"/>
              </w:rPr>
            </w:pPr>
            <w:r>
              <w:rPr>
                <w:rFonts w:ascii="黑体" w:hAnsi="黑体" w:eastAsia="黑体"/>
                <w:kern w:val="0"/>
                <w:sz w:val="20"/>
                <w:szCs w:val="20"/>
              </w:rPr>
              <w:t>尚未</w:t>
            </w:r>
          </w:p>
          <w:p>
            <w:pPr>
              <w:pageBreakBefore w:val="0"/>
              <w:widowControl/>
              <w:kinsoku/>
              <w:overflowPunct/>
              <w:topLinePunct w:val="0"/>
              <w:autoSpaceDE/>
              <w:autoSpaceDN/>
              <w:bidi w:val="0"/>
              <w:adjustRightInd/>
              <w:spacing w:line="240" w:lineRule="auto"/>
              <w:ind w:left="-164" w:leftChars="-78" w:right="-153" w:rightChars="-73"/>
              <w:jc w:val="center"/>
              <w:textAlignment w:val="auto"/>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pageBreakBefore w:val="0"/>
              <w:widowControl/>
              <w:kinsoku/>
              <w:overflowPunct/>
              <w:topLinePunct w:val="0"/>
              <w:autoSpaceDE/>
              <w:autoSpaceDN/>
              <w:bidi w:val="0"/>
              <w:adjustRightInd/>
              <w:spacing w:line="240" w:lineRule="auto"/>
              <w:ind w:left="-99" w:leftChars="-47" w:right="-78" w:rightChars="-37"/>
              <w:jc w:val="center"/>
              <w:textAlignment w:val="auto"/>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pageBreakBefore w:val="0"/>
              <w:widowControl/>
              <w:kinsoku/>
              <w:overflowPunct/>
              <w:topLinePunct w:val="0"/>
              <w:autoSpaceDE/>
              <w:autoSpaceDN/>
              <w:bidi w:val="0"/>
              <w:adjustRightInd/>
              <w:spacing w:line="240" w:lineRule="auto"/>
              <w:ind w:left="-136" w:leftChars="-65" w:right="-124" w:rightChars="-59"/>
              <w:jc w:val="center"/>
              <w:textAlignment w:val="auto"/>
              <w:rPr>
                <w:rFonts w:ascii="黑体" w:hAnsi="黑体" w:eastAsia="黑体"/>
                <w:kern w:val="0"/>
                <w:sz w:val="20"/>
                <w:szCs w:val="20"/>
              </w:rPr>
            </w:pPr>
            <w:r>
              <w:rPr>
                <w:rFonts w:ascii="黑体" w:hAnsi="黑体" w:eastAsia="黑体"/>
                <w:kern w:val="0"/>
                <w:sz w:val="20"/>
                <w:szCs w:val="20"/>
              </w:rPr>
              <w:t>结果</w:t>
            </w:r>
          </w:p>
          <w:p>
            <w:pPr>
              <w:pageBreakBefore w:val="0"/>
              <w:widowControl/>
              <w:kinsoku/>
              <w:overflowPunct/>
              <w:topLinePunct w:val="0"/>
              <w:autoSpaceDE/>
              <w:autoSpaceDN/>
              <w:bidi w:val="0"/>
              <w:adjustRightInd/>
              <w:spacing w:line="240" w:lineRule="auto"/>
              <w:ind w:left="-136" w:leftChars="-65" w:right="-124" w:rightChars="-59"/>
              <w:jc w:val="center"/>
              <w:textAlignment w:val="auto"/>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pageBreakBefore w:val="0"/>
              <w:widowControl/>
              <w:kinsoku/>
              <w:overflowPunct/>
              <w:topLinePunct w:val="0"/>
              <w:autoSpaceDE/>
              <w:autoSpaceDN/>
              <w:bidi w:val="0"/>
              <w:adjustRightInd/>
              <w:spacing w:line="240" w:lineRule="auto"/>
              <w:ind w:left="-173" w:leftChars="-83" w:right="-134" w:rightChars="-64" w:hanging="1"/>
              <w:jc w:val="center"/>
              <w:textAlignment w:val="auto"/>
              <w:rPr>
                <w:rFonts w:ascii="黑体" w:hAnsi="黑体" w:eastAsia="黑体"/>
                <w:kern w:val="0"/>
                <w:sz w:val="20"/>
                <w:szCs w:val="20"/>
              </w:rPr>
            </w:pPr>
            <w:r>
              <w:rPr>
                <w:rFonts w:ascii="黑体" w:hAnsi="黑体" w:eastAsia="黑体"/>
                <w:kern w:val="0"/>
                <w:sz w:val="20"/>
                <w:szCs w:val="20"/>
              </w:rPr>
              <w:t>其他</w:t>
            </w:r>
          </w:p>
          <w:p>
            <w:pPr>
              <w:pageBreakBefore w:val="0"/>
              <w:widowControl/>
              <w:kinsoku/>
              <w:overflowPunct/>
              <w:topLinePunct w:val="0"/>
              <w:autoSpaceDE/>
              <w:autoSpaceDN/>
              <w:bidi w:val="0"/>
              <w:adjustRightInd/>
              <w:spacing w:line="240" w:lineRule="auto"/>
              <w:ind w:left="-173" w:leftChars="-83" w:right="-134" w:rightChars="-64" w:hanging="1"/>
              <w:jc w:val="center"/>
              <w:textAlignment w:val="auto"/>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pageBreakBefore w:val="0"/>
              <w:widowControl/>
              <w:kinsoku/>
              <w:overflowPunct/>
              <w:topLinePunct w:val="0"/>
              <w:autoSpaceDE/>
              <w:autoSpaceDN/>
              <w:bidi w:val="0"/>
              <w:adjustRightInd/>
              <w:spacing w:line="240" w:lineRule="auto"/>
              <w:ind w:left="-67" w:leftChars="-33" w:right="-105" w:rightChars="-50" w:hanging="2" w:hangingChars="1"/>
              <w:jc w:val="center"/>
              <w:textAlignment w:val="auto"/>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pageBreakBefore w:val="0"/>
              <w:widowControl/>
              <w:kinsoku/>
              <w:overflowPunct/>
              <w:topLinePunct w:val="0"/>
              <w:autoSpaceDE/>
              <w:autoSpaceDN/>
              <w:bidi w:val="0"/>
              <w:adjustRightInd/>
              <w:spacing w:line="240" w:lineRule="auto"/>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pageBreakBefore w:val="0"/>
              <w:widowControl/>
              <w:kinsoku/>
              <w:overflowPunct/>
              <w:topLinePunct w:val="0"/>
              <w:autoSpaceDE/>
              <w:autoSpaceDN/>
              <w:bidi w:val="0"/>
              <w:adjustRightInd/>
              <w:spacing w:line="240" w:lineRule="auto"/>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r>
    </w:tbl>
    <w:p>
      <w:pPr>
        <w:pStyle w:val="3"/>
        <w:pageBreakBefore w:val="0"/>
        <w:numPr>
          <w:ilvl w:val="0"/>
          <w:numId w:val="0"/>
        </w:numPr>
        <w:kinsoku/>
        <w:overflowPunct/>
        <w:topLinePunct w:val="0"/>
        <w:autoSpaceDE/>
        <w:autoSpaceDN/>
        <w:bidi w:val="0"/>
        <w:adjustRightInd/>
        <w:spacing w:before="0" w:after="0" w:line="240" w:lineRule="auto"/>
        <w:ind w:firstLine="640" w:firstLineChars="200"/>
        <w:textAlignment w:val="auto"/>
        <w:rPr>
          <w:rFonts w:hint="eastAsia" w:ascii="CESI黑体-GB2312" w:hAnsi="CESI黑体-GB2312" w:eastAsia="CESI黑体-GB2312" w:cs="CESI黑体-GB2312"/>
          <w:b w:val="0"/>
          <w:bCs w:val="0"/>
        </w:rPr>
      </w:pPr>
      <w:r>
        <w:rPr>
          <w:rFonts w:hint="eastAsia" w:ascii="CESI黑体-GB2312" w:hAnsi="CESI黑体-GB2312" w:eastAsia="CESI黑体-GB2312" w:cs="CESI黑体-GB2312"/>
          <w:b w:val="0"/>
          <w:bCs w:val="0"/>
          <w:lang w:eastAsia="zh-CN"/>
        </w:rPr>
        <w:t>五、</w:t>
      </w:r>
      <w:r>
        <w:rPr>
          <w:rFonts w:hint="eastAsia" w:ascii="CESI黑体-GB2312" w:hAnsi="CESI黑体-GB2312" w:eastAsia="CESI黑体-GB2312" w:cs="CESI黑体-GB2312"/>
          <w:b w:val="0"/>
          <w:bCs w:val="0"/>
        </w:rPr>
        <w:t>存在的主要问题及改进情况</w:t>
      </w:r>
    </w:p>
    <w:p>
      <w:pPr>
        <w:pStyle w:val="2"/>
        <w:pageBreakBefore w:val="0"/>
        <w:kinsoku/>
        <w:overflowPunct/>
        <w:topLinePunct w:val="0"/>
        <w:autoSpaceDE/>
        <w:autoSpaceDN/>
        <w:bidi w:val="0"/>
        <w:adjustRightInd/>
        <w:spacing w:line="240" w:lineRule="auto"/>
        <w:ind w:firstLine="640" w:firstLineChars="200"/>
        <w:textAlignment w:val="auto"/>
        <w:outlineLvl w:val="9"/>
        <w:rPr>
          <w:rFonts w:hint="eastAsia" w:ascii="CESI楷体-GB2312" w:hAnsi="CESI楷体-GB2312" w:eastAsia="CESI楷体-GB2312" w:cs="CESI楷体-GB2312"/>
          <w:b/>
          <w:bCs/>
          <w:kern w:val="2"/>
          <w:sz w:val="32"/>
          <w:szCs w:val="32"/>
          <w:lang w:val="en-US" w:eastAsia="zh-CN" w:bidi="ar-SA"/>
        </w:rPr>
      </w:pPr>
      <w:r>
        <w:rPr>
          <w:rFonts w:hint="eastAsia" w:ascii="CESI楷体-GB2312" w:hAnsi="CESI楷体-GB2312" w:eastAsia="CESI楷体-GB2312" w:cs="CESI楷体-GB2312"/>
          <w:b/>
          <w:bCs/>
          <w:kern w:val="2"/>
          <w:sz w:val="32"/>
          <w:szCs w:val="32"/>
          <w:lang w:val="en-US" w:eastAsia="zh-CN" w:bidi="ar-SA"/>
        </w:rPr>
        <w:t>（一）存在的主要问题</w:t>
      </w:r>
    </w:p>
    <w:p>
      <w:pPr>
        <w:pStyle w:val="2"/>
        <w:pageBreakBefore w:val="0"/>
        <w:kinsoku/>
        <w:overflowPunct/>
        <w:topLinePunct w:val="0"/>
        <w:autoSpaceDE/>
        <w:autoSpaceDN/>
        <w:bidi w:val="0"/>
        <w:adjustRightInd/>
        <w:spacing w:line="24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政府信息审校不够严格，部分信息出现表述错误等问题。</w:t>
      </w:r>
    </w:p>
    <w:p>
      <w:pPr>
        <w:pStyle w:val="2"/>
        <w:pageBreakBefore w:val="0"/>
        <w:kinsoku/>
        <w:overflowPunct/>
        <w:topLinePunct w:val="0"/>
        <w:autoSpaceDE/>
        <w:autoSpaceDN/>
        <w:bidi w:val="0"/>
        <w:adjustRightInd/>
        <w:spacing w:line="240" w:lineRule="auto"/>
        <w:ind w:firstLine="640" w:firstLineChars="200"/>
        <w:textAlignment w:val="auto"/>
        <w:rPr>
          <w:rFonts w:hint="eastAsia" w:ascii="CESI楷体-GB2312" w:hAnsi="CESI楷体-GB2312" w:eastAsia="CESI楷体-GB2312" w:cs="CESI楷体-GB2312"/>
          <w:b/>
          <w:bCs/>
          <w:kern w:val="2"/>
          <w:sz w:val="32"/>
          <w:szCs w:val="32"/>
          <w:lang w:val="en-US" w:eastAsia="zh-CN" w:bidi="ar-SA"/>
        </w:rPr>
      </w:pPr>
      <w:r>
        <w:rPr>
          <w:rFonts w:hint="eastAsia" w:ascii="CESI楷体-GB2312" w:hAnsi="CESI楷体-GB2312" w:eastAsia="CESI楷体-GB2312" w:cs="CESI楷体-GB2312"/>
          <w:b/>
          <w:bCs/>
          <w:kern w:val="2"/>
          <w:sz w:val="32"/>
          <w:szCs w:val="32"/>
          <w:lang w:val="en-US" w:eastAsia="zh-CN" w:bidi="ar-SA"/>
        </w:rPr>
        <w:t>（二）改进情况</w:t>
      </w:r>
    </w:p>
    <w:p>
      <w:pPr>
        <w:pageBreakBefore w:val="0"/>
        <w:kinsoku/>
        <w:overflowPunct/>
        <w:topLinePunct w:val="0"/>
        <w:autoSpaceDE/>
        <w:autoSpaceDN/>
        <w:bidi w:val="0"/>
        <w:adjustRightInd/>
        <w:spacing w:line="24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强化发布信息审核工作，确保不出现低级错误和表述性错误。充分维护政府网站，运用平台提高群众知晓度，多发布群众喜闻乐见内容。</w:t>
      </w:r>
    </w:p>
    <w:p>
      <w:pPr>
        <w:pStyle w:val="3"/>
        <w:pageBreakBefore w:val="0"/>
        <w:numPr>
          <w:ilvl w:val="0"/>
          <w:numId w:val="0"/>
        </w:numPr>
        <w:kinsoku/>
        <w:overflowPunct/>
        <w:topLinePunct w:val="0"/>
        <w:autoSpaceDE/>
        <w:autoSpaceDN/>
        <w:bidi w:val="0"/>
        <w:adjustRightInd/>
        <w:spacing w:before="0" w:after="0" w:line="240" w:lineRule="auto"/>
        <w:ind w:firstLine="640" w:firstLineChars="200"/>
        <w:textAlignment w:val="auto"/>
        <w:rPr>
          <w:rFonts w:hint="eastAsia" w:ascii="CESI黑体-GB2312" w:hAnsi="CESI黑体-GB2312" w:eastAsia="CESI黑体-GB2312" w:cs="CESI黑体-GB2312"/>
          <w:b w:val="0"/>
          <w:bCs w:val="0"/>
        </w:rPr>
      </w:pPr>
      <w:r>
        <w:rPr>
          <w:rFonts w:hint="eastAsia" w:ascii="CESI黑体-GB2312" w:hAnsi="CESI黑体-GB2312" w:eastAsia="CESI黑体-GB2312" w:cs="CESI黑体-GB2312"/>
          <w:b w:val="0"/>
          <w:bCs w:val="0"/>
          <w:lang w:eastAsia="zh-CN"/>
        </w:rPr>
        <w:t>六、</w:t>
      </w:r>
      <w:r>
        <w:rPr>
          <w:rFonts w:hint="eastAsia" w:ascii="CESI黑体-GB2312" w:hAnsi="CESI黑体-GB2312" w:eastAsia="CESI黑体-GB2312" w:cs="CESI黑体-GB2312"/>
          <w:b w:val="0"/>
          <w:bCs w:val="0"/>
        </w:rPr>
        <w:t>其他需要报告的事项</w:t>
      </w:r>
    </w:p>
    <w:p>
      <w:pPr>
        <w:pageBreakBefore w:val="0"/>
        <w:kinsoku/>
        <w:overflowPunct/>
        <w:topLinePunct w:val="0"/>
        <w:autoSpaceDE/>
        <w:autoSpaceDN/>
        <w:bidi w:val="0"/>
        <w:adjustRightInd/>
        <w:spacing w:line="240" w:lineRule="auto"/>
        <w:ind w:firstLine="640" w:firstLineChars="200"/>
        <w:textAlignment w:val="auto"/>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（一）政府信息公开信息处理费收取情况</w:t>
      </w:r>
    </w:p>
    <w:p>
      <w:pPr>
        <w:pageBreakBefore w:val="0"/>
        <w:kinsoku/>
        <w:overflowPunct/>
        <w:topLinePunct w:val="0"/>
        <w:autoSpaceDE/>
        <w:autoSpaceDN/>
        <w:bidi w:val="0"/>
        <w:adjustRightInd/>
        <w:spacing w:line="240" w:lineRule="auto"/>
        <w:ind w:firstLine="640" w:firstLineChars="200"/>
        <w:textAlignment w:val="auto"/>
        <w:rPr>
          <w:rFonts w:hint="eastAsia" w:ascii="仿宋_GB2312" w:eastAsia="仿宋_GB2312"/>
          <w:sz w:val="32"/>
          <w:szCs w:val="32"/>
          <w:lang w:eastAsia="zh-CN"/>
        </w:rPr>
      </w:pPr>
      <w:r>
        <w:rPr>
          <w:rFonts w:hint="eastAsia" w:ascii="仿宋_GB2312" w:hAnsi="文星仿宋" w:eastAsia="仿宋_GB2312"/>
          <w:sz w:val="32"/>
          <w:szCs w:val="32"/>
          <w:lang w:eastAsia="zh-CN"/>
        </w:rPr>
        <w:t>认真落实</w:t>
      </w:r>
      <w:r>
        <w:rPr>
          <w:rFonts w:hint="eastAsia" w:ascii="仿宋_GB2312" w:hAnsi="文星仿宋" w:eastAsia="仿宋_GB2312"/>
          <w:sz w:val="32"/>
          <w:szCs w:val="32"/>
        </w:rPr>
        <w:t>《国务院办公厅关于印发&lt;政府信息公开信息处理费管理办法&gt;的通知》（国办函〔2020〕109号）和《山东省人民政府办公厅关于做好政府信息公开信息处理费管理工作有关事项的通知》（鲁政办字〔2020〕179号）规定，</w:t>
      </w:r>
      <w:r>
        <w:rPr>
          <w:rFonts w:hint="eastAsia" w:ascii="仿宋_GB2312" w:eastAsia="仿宋_GB2312"/>
          <w:sz w:val="32"/>
          <w:szCs w:val="32"/>
          <w:lang w:eastAsia="zh-CN"/>
        </w:rPr>
        <w:t>本年度政府信息公开未收取信息处理费。</w:t>
      </w:r>
    </w:p>
    <w:p>
      <w:pPr>
        <w:pageBreakBefore w:val="0"/>
        <w:kinsoku/>
        <w:overflowPunct/>
        <w:topLinePunct w:val="0"/>
        <w:autoSpaceDE/>
        <w:autoSpaceDN/>
        <w:bidi w:val="0"/>
        <w:adjustRightInd/>
        <w:spacing w:line="240" w:lineRule="auto"/>
        <w:ind w:firstLine="640" w:firstLineChars="200"/>
        <w:textAlignment w:val="auto"/>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（二）落实年度政务公开工作要点情况</w:t>
      </w:r>
    </w:p>
    <w:p>
      <w:pPr>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认真</w:t>
      </w:r>
      <w:r>
        <w:rPr>
          <w:rFonts w:ascii="仿宋_GB2312" w:eastAsia="仿宋_GB2312"/>
          <w:sz w:val="32"/>
          <w:szCs w:val="32"/>
        </w:rPr>
        <w:t>落实</w:t>
      </w:r>
      <w:r>
        <w:rPr>
          <w:rFonts w:hint="eastAsia" w:ascii="仿宋_GB2312" w:eastAsia="仿宋_GB2312"/>
          <w:sz w:val="32"/>
          <w:szCs w:val="32"/>
          <w:lang w:eastAsia="zh-CN"/>
        </w:rPr>
        <w:t>《冠县人民政府办公室关于202</w:t>
      </w:r>
      <w:r>
        <w:rPr>
          <w:rFonts w:hint="eastAsia" w:ascii="仿宋_GB2312" w:eastAsia="仿宋_GB2312"/>
          <w:sz w:val="32"/>
          <w:szCs w:val="32"/>
          <w:lang w:val="en-US" w:eastAsia="zh-CN"/>
        </w:rPr>
        <w:t>5</w:t>
      </w:r>
      <w:r>
        <w:rPr>
          <w:rFonts w:hint="eastAsia" w:ascii="仿宋_GB2312" w:eastAsia="仿宋_GB2312"/>
          <w:sz w:val="32"/>
          <w:szCs w:val="32"/>
          <w:lang w:eastAsia="zh-CN"/>
        </w:rPr>
        <w:t>年政务公开重点工作任务分工的通知》，推进供热、供气公共企事业单位信息公开常态化，为群众提供便捷服务。做好行政执法平台建设，精准发布各类行政执法信息。及时发布政策解读类信息，提高群众知晓率。</w:t>
      </w:r>
    </w:p>
    <w:p>
      <w:pPr>
        <w:pageBreakBefore w:val="0"/>
        <w:kinsoku/>
        <w:overflowPunct/>
        <w:topLinePunct w:val="0"/>
        <w:autoSpaceDE/>
        <w:autoSpaceDN/>
        <w:bidi w:val="0"/>
        <w:adjustRightInd/>
        <w:spacing w:line="240" w:lineRule="auto"/>
        <w:ind w:firstLine="640" w:firstLineChars="200"/>
        <w:textAlignment w:val="auto"/>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（三）人大代表建议和政协提案办理结果公开情况</w:t>
      </w:r>
    </w:p>
    <w:p>
      <w:pPr>
        <w:pageBreakBefore w:val="0"/>
        <w:kinsoku/>
        <w:overflowPunct/>
        <w:topLinePunct w:val="0"/>
        <w:autoSpaceDE/>
        <w:autoSpaceDN/>
        <w:bidi w:val="0"/>
        <w:adjustRightInd/>
        <w:spacing w:line="240" w:lineRule="auto"/>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2025年共办理人大代表建议12件、政协提案25件，办复率均为100%。严格按照《山东省人民政府办公厅关于做好人大代表建议和政协提案办理结果公开工作的通知》（鲁政办字〔2016〕63号）要求，除涉及国家秘密、工作秘密的，</w:t>
      </w:r>
      <w:r>
        <w:rPr>
          <w:rFonts w:hint="eastAsia" w:ascii="Times New Roman" w:hAnsi="Times New Roman" w:eastAsia="仿宋_GB2312" w:cs="仿宋_GB2312"/>
          <w:sz w:val="32"/>
          <w:szCs w:val="32"/>
        </w:rPr>
        <w:t>所有建议提案办理复文或摘要以及办理总体情况均在</w:t>
      </w:r>
      <w:r>
        <w:rPr>
          <w:rFonts w:hint="eastAsia" w:ascii="仿宋_GB2312" w:eastAsia="仿宋_GB2312"/>
          <w:sz w:val="32"/>
          <w:szCs w:val="32"/>
          <w:lang w:val="en-US" w:eastAsia="zh-CN"/>
        </w:rPr>
        <w:t>冠县人民政府网站“冠县建议提案办理”专栏进行了集中公开。</w:t>
      </w:r>
    </w:p>
    <w:p>
      <w:pPr>
        <w:pageBreakBefore w:val="0"/>
        <w:kinsoku/>
        <w:overflowPunct/>
        <w:topLinePunct w:val="0"/>
        <w:autoSpaceDE/>
        <w:autoSpaceDN/>
        <w:bidi w:val="0"/>
        <w:adjustRightInd/>
        <w:spacing w:line="240" w:lineRule="auto"/>
        <w:ind w:firstLine="640" w:firstLineChars="200"/>
        <w:textAlignment w:val="auto"/>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（四）政务公开工作创新情况</w:t>
      </w:r>
    </w:p>
    <w:p>
      <w:pPr>
        <w:pageBreakBefore w:val="0"/>
        <w:kinsoku/>
        <w:overflowPunct/>
        <w:topLinePunct w:val="0"/>
        <w:autoSpaceDE/>
        <w:autoSpaceDN/>
        <w:bidi w:val="0"/>
        <w:adjustRightIn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积极举办政府开放日活动，结合工作实际，联合</w:t>
      </w:r>
      <w:r>
        <w:rPr>
          <w:rFonts w:hint="eastAsia" w:ascii="仿宋_GB2312" w:eastAsia="仿宋_GB2312"/>
          <w:sz w:val="32"/>
          <w:szCs w:val="32"/>
          <w:lang w:val="en-US" w:eastAsia="zh-CN"/>
        </w:rPr>
        <w:t>2家</w:t>
      </w:r>
      <w:r>
        <w:rPr>
          <w:rFonts w:hint="eastAsia" w:ascii="仿宋_GB2312" w:eastAsia="仿宋_GB2312"/>
          <w:sz w:val="32"/>
          <w:szCs w:val="32"/>
          <w:lang w:eastAsia="zh-CN"/>
        </w:rPr>
        <w:t>燃气公司开展应急安全宣传，现场解决群众咨询疑问</w:t>
      </w:r>
      <w:r>
        <w:rPr>
          <w:rFonts w:hint="eastAsia" w:ascii="仿宋_GB2312" w:eastAsia="仿宋_GB2312"/>
          <w:sz w:val="32"/>
          <w:szCs w:val="32"/>
          <w:lang w:val="en-US" w:eastAsia="zh-CN"/>
        </w:rPr>
        <w:t>80余次，发放各类宣传彩页200余份。</w:t>
      </w:r>
    </w:p>
    <w:p>
      <w:pPr>
        <w:pageBreakBefore w:val="0"/>
        <w:kinsoku/>
        <w:overflowPunct/>
        <w:topLinePunct w:val="0"/>
        <w:autoSpaceDE/>
        <w:autoSpaceDN/>
        <w:bidi w:val="0"/>
        <w:adjustRightInd/>
        <w:spacing w:line="240" w:lineRule="auto"/>
        <w:ind w:firstLine="640" w:firstLineChars="200"/>
        <w:textAlignment w:val="auto"/>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（五）政府信息公开年度报告数据统计需要说明的事项</w:t>
      </w:r>
    </w:p>
    <w:p>
      <w:pPr>
        <w:pageBreakBefore w:val="0"/>
        <w:kinsoku/>
        <w:overflowPunct/>
        <w:topLinePunct w:val="0"/>
        <w:autoSpaceDE/>
        <w:autoSpaceDN/>
        <w:bidi w:val="0"/>
        <w:adjustRightInd/>
        <w:spacing w:line="24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w:t>
      </w:r>
      <w:r>
        <w:rPr>
          <w:rFonts w:hint="eastAsia" w:ascii="仿宋_GB2312" w:eastAsia="仿宋_GB2312"/>
          <w:sz w:val="32"/>
          <w:szCs w:val="32"/>
          <w:lang w:eastAsia="zh-CN"/>
        </w:rPr>
        <w:t>本年度报告中所列数据统计期限从</w:t>
      </w:r>
      <w:r>
        <w:rPr>
          <w:rFonts w:hint="eastAsia" w:ascii="仿宋_GB2312" w:eastAsia="仿宋_GB2312"/>
          <w:sz w:val="32"/>
          <w:szCs w:val="32"/>
          <w:lang w:val="en-US" w:eastAsia="zh-CN"/>
        </w:rPr>
        <w:t>2025年1月1日到12月31日止。</w:t>
      </w:r>
    </w:p>
    <w:p>
      <w:pPr>
        <w:pStyle w:val="4"/>
        <w:pageBreakBefore w:val="0"/>
        <w:shd w:val="clear" w:color="auto"/>
        <w:kinsoku/>
        <w:overflowPunct/>
        <w:topLinePunct w:val="0"/>
        <w:autoSpaceDE/>
        <w:autoSpaceDN/>
        <w:bidi w:val="0"/>
        <w:adjustRightInd/>
        <w:spacing w:beforeAutospacing="0" w:afterAutospacing="0" w:line="240" w:lineRule="auto"/>
        <w:ind w:firstLine="640" w:firstLineChars="200"/>
        <w:jc w:val="both"/>
        <w:textAlignment w:val="auto"/>
        <w:rPr>
          <w:rFonts w:ascii="仿宋_GB2312" w:hAnsi="Times New Roman" w:eastAsia="仿宋_GB2312" w:cs="仿宋_GB2312"/>
          <w:color w:val="auto"/>
          <w:sz w:val="32"/>
          <w:szCs w:val="32"/>
          <w:shd w:val="clear" w:color="auto" w:fill="FFFFFF"/>
        </w:rPr>
      </w:pPr>
      <w:r>
        <w:rPr>
          <w:rFonts w:ascii="仿宋_GB2312" w:hAnsi="Times New Roman" w:eastAsia="仿宋_GB2312" w:cs="仿宋_GB2312"/>
          <w:color w:val="auto"/>
          <w:sz w:val="32"/>
          <w:szCs w:val="32"/>
          <w:shd w:val="clear" w:color="auto" w:fill="FFFFFF"/>
        </w:rPr>
        <w:t>2</w:t>
      </w:r>
      <w:r>
        <w:rPr>
          <w:rFonts w:hint="eastAsia" w:ascii="仿宋_GB2312" w:hAnsi="Times New Roman" w:eastAsia="仿宋_GB2312" w:cs="仿宋_GB2312"/>
          <w:color w:val="auto"/>
          <w:sz w:val="32"/>
          <w:szCs w:val="32"/>
          <w:shd w:val="clear" w:color="auto" w:fill="FFFFFF"/>
          <w:lang w:val="en-US" w:eastAsia="zh-CN"/>
        </w:rPr>
        <w:t>.</w:t>
      </w:r>
      <w:r>
        <w:rPr>
          <w:rFonts w:hint="eastAsia" w:ascii="仿宋_GB2312" w:hAnsi="Times New Roman" w:eastAsia="仿宋_GB2312" w:cs="仿宋_GB2312"/>
          <w:color w:val="auto"/>
          <w:sz w:val="32"/>
          <w:szCs w:val="32"/>
          <w:shd w:val="clear" w:color="auto" w:fill="FFFFFF"/>
        </w:rPr>
        <w:t>行政许可数量、行政处罚和行政强制数量，包括已公开和依法未公开的全部处理决定。</w:t>
      </w:r>
    </w:p>
    <w:p>
      <w:pPr>
        <w:pStyle w:val="4"/>
        <w:pageBreakBefore w:val="0"/>
        <w:shd w:val="clear" w:color="auto"/>
        <w:kinsoku/>
        <w:overflowPunct/>
        <w:topLinePunct w:val="0"/>
        <w:autoSpaceDE/>
        <w:autoSpaceDN/>
        <w:bidi w:val="0"/>
        <w:adjustRightInd/>
        <w:spacing w:beforeAutospacing="0" w:afterAutospacing="0" w:line="240" w:lineRule="auto"/>
        <w:ind w:firstLine="640" w:firstLineChars="200"/>
        <w:jc w:val="both"/>
        <w:textAlignment w:val="auto"/>
        <w:rPr>
          <w:rFonts w:ascii="仿宋_GB2312" w:hAnsi="Times New Roman" w:eastAsia="仿宋_GB2312"/>
          <w:color w:val="auto"/>
          <w:sz w:val="32"/>
          <w:szCs w:val="32"/>
          <w:shd w:val="clear" w:color="auto" w:fill="FFFFFF"/>
        </w:rPr>
      </w:pPr>
      <w:r>
        <w:rPr>
          <w:rFonts w:ascii="仿宋_GB2312" w:hAnsi="Times New Roman" w:eastAsia="仿宋_GB2312" w:cs="仿宋_GB2312"/>
          <w:color w:val="auto"/>
          <w:sz w:val="32"/>
          <w:szCs w:val="32"/>
          <w:shd w:val="clear" w:color="auto" w:fill="FFFFFF"/>
        </w:rPr>
        <w:t>3</w:t>
      </w:r>
      <w:r>
        <w:rPr>
          <w:rFonts w:hint="eastAsia" w:ascii="仿宋_GB2312" w:hAnsi="Times New Roman" w:eastAsia="仿宋_GB2312" w:cs="仿宋_GB2312"/>
          <w:color w:val="auto"/>
          <w:sz w:val="32"/>
          <w:szCs w:val="32"/>
          <w:shd w:val="clear" w:color="auto" w:fill="FFFFFF"/>
          <w:lang w:val="en-US" w:eastAsia="zh-CN"/>
        </w:rPr>
        <w:t>.</w:t>
      </w:r>
      <w:r>
        <w:rPr>
          <w:rFonts w:hint="eastAsia" w:ascii="仿宋_GB2312" w:hAnsi="Times New Roman" w:eastAsia="仿宋_GB2312" w:cs="仿宋_GB2312"/>
          <w:color w:val="auto"/>
          <w:sz w:val="32"/>
          <w:szCs w:val="32"/>
          <w:shd w:val="clear" w:color="auto" w:fill="FFFFFF"/>
        </w:rPr>
        <w:t>行政复议机关作为共同被告的行政诉讼案件，只计算原行为主体的案件数量，不计算行政复议机关的案件数量。</w:t>
      </w:r>
    </w:p>
    <w:p>
      <w:pPr>
        <w:pageBreakBefore w:val="0"/>
        <w:kinsoku/>
        <w:overflowPunct/>
        <w:topLinePunct w:val="0"/>
        <w:autoSpaceDE/>
        <w:autoSpaceDN/>
        <w:bidi w:val="0"/>
        <w:adjustRightInd/>
        <w:spacing w:line="240" w:lineRule="auto"/>
        <w:ind w:firstLine="640" w:firstLineChars="200"/>
        <w:textAlignment w:val="auto"/>
        <w:rPr>
          <w:rFonts w:hint="default" w:ascii="CESI楷体-GB2312" w:hAnsi="CESI楷体-GB2312" w:eastAsia="CESI楷体-GB2312" w:cs="CESI楷体-GB2312"/>
          <w:b/>
          <w:bCs/>
          <w:sz w:val="32"/>
          <w:szCs w:val="32"/>
          <w:lang w:val="en-US" w:eastAsia="zh-CN"/>
        </w:rPr>
      </w:pPr>
      <w:r>
        <w:rPr>
          <w:rFonts w:hint="eastAsia" w:ascii="CESI楷体-GB2312" w:hAnsi="CESI楷体-GB2312" w:eastAsia="CESI楷体-GB2312" w:cs="CESI楷体-GB2312"/>
          <w:b/>
          <w:bCs/>
          <w:sz w:val="32"/>
          <w:szCs w:val="32"/>
          <w:lang w:val="en-US" w:eastAsia="zh-CN"/>
        </w:rPr>
        <w:t>（六）其他事项</w:t>
      </w:r>
    </w:p>
    <w:p>
      <w:pPr>
        <w:keepNext w:val="0"/>
        <w:keepLines w:val="0"/>
        <w:pageBreakBefore w:val="0"/>
        <w:widowControl w:val="0"/>
        <w:kinsoku/>
        <w:wordWrap/>
        <w:overflowPunct/>
        <w:topLinePunct w:val="0"/>
        <w:autoSpaceDE/>
        <w:autoSpaceDN/>
        <w:bidi w:val="0"/>
        <w:adjustRightInd/>
        <w:snapToGrid/>
        <w:spacing w:line="240" w:lineRule="auto"/>
        <w:ind w:firstLine="616" w:firstLineChars="200"/>
        <w:textAlignment w:val="auto"/>
        <w:rPr>
          <w:rFonts w:hint="eastAsia" w:ascii="仿宋_GB2312" w:eastAsia="仿宋_GB2312"/>
          <w:b w:val="0"/>
          <w:bCs w:val="0"/>
          <w:spacing w:val="-6"/>
          <w:sz w:val="32"/>
          <w:szCs w:val="32"/>
          <w:lang w:val="en-US" w:eastAsia="zh-CN"/>
        </w:rPr>
      </w:pPr>
      <w:r>
        <w:rPr>
          <w:rFonts w:hint="eastAsia" w:ascii="仿宋_GB2312" w:eastAsia="仿宋_GB2312"/>
          <w:b w:val="0"/>
          <w:bCs w:val="0"/>
          <w:spacing w:val="-6"/>
          <w:sz w:val="32"/>
          <w:szCs w:val="32"/>
          <w:lang w:val="en-US" w:eastAsia="zh-CN"/>
        </w:rPr>
        <w:t>聚焦民生核心需求，促进燃气、供热等企事业单位信息公开常态化，公开内容涵盖价格标</w:t>
      </w:r>
      <w:bookmarkStart w:id="11" w:name="_GoBack"/>
      <w:bookmarkEnd w:id="11"/>
      <w:r>
        <w:rPr>
          <w:rFonts w:hint="eastAsia" w:ascii="仿宋_GB2312" w:eastAsia="仿宋_GB2312"/>
          <w:b w:val="0"/>
          <w:bCs w:val="0"/>
          <w:spacing w:val="-6"/>
          <w:sz w:val="32"/>
          <w:szCs w:val="32"/>
          <w:lang w:val="en-US" w:eastAsia="zh-CN"/>
        </w:rPr>
        <w:t>准、收费依据、法定供热周期、业务办理流程及时限，以及维修网点、服务承诺等便民信息，同时重点公开安全使用指南、应急处置流程等涉安全类信息，切实保障公众知情权与监督权。2025年，公开供气、供热领域公共企事业单位信息92条。</w:t>
      </w:r>
    </w:p>
    <w:p>
      <w:pPr>
        <w:pStyle w:val="2"/>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auto"/>
    <w:pitch w:val="default"/>
    <w:sig w:usb0="00000000" w:usb1="00000000" w:usb2="02000000" w:usb3="00000000" w:csb0="2000019F" w:csb1="00000000"/>
  </w:font>
  <w:font w:name="CESI小标宋-GB2312">
    <w:panose1 w:val="02000500000000000000"/>
    <w:charset w:val="86"/>
    <w:family w:val="auto"/>
    <w:pitch w:val="default"/>
    <w:sig w:usb0="800002AF" w:usb1="084F6CF8" w:usb2="00000010" w:usb3="00000000" w:csb0="0004000F" w:csb1="00000000"/>
  </w:font>
  <w:font w:name="仿宋_GB2312">
    <w:panose1 w:val="02010609030101010101"/>
    <w:charset w:val="86"/>
    <w:family w:val="decorative"/>
    <w:pitch w:val="default"/>
    <w:sig w:usb0="00000001" w:usb1="080E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CESI楷体-GB2312">
    <w:panose1 w:val="02000500000000000000"/>
    <w:charset w:val="86"/>
    <w:family w:val="auto"/>
    <w:pitch w:val="default"/>
    <w:sig w:usb0="800002BF" w:usb1="184F6CF8" w:usb2="00000012" w:usb3="00000000" w:csb0="0004000F" w:csb1="00000000"/>
  </w:font>
  <w:font w:name="汉仪中等线简">
    <w:panose1 w:val="02010600000101010101"/>
    <w:charset w:val="86"/>
    <w:family w:val="modern"/>
    <w:pitch w:val="default"/>
    <w:sig w:usb0="00000001" w:usb1="080E0800" w:usb2="00000002" w:usb3="00000000" w:csb0="00040000" w:csb1="00000000"/>
  </w:font>
  <w:font w:name="楷体_GB2312">
    <w:panose1 w:val="02010609030101010101"/>
    <w:charset w:val="86"/>
    <w:family w:val="decorative"/>
    <w:pitch w:val="default"/>
    <w:sig w:usb0="00000001" w:usb1="080E0000" w:usb2="00000000" w:usb3="00000000" w:csb0="00040000" w:csb1="00000000"/>
  </w:font>
  <w:font w:name="楷体">
    <w:altName w:val="方正楷体_GBK"/>
    <w:panose1 w:val="02010609060101010101"/>
    <w:charset w:val="86"/>
    <w:family w:val="decorative"/>
    <w:pitch w:val="default"/>
    <w:sig w:usb0="00000000" w:usb1="00000000" w:usb2="00000016" w:usb3="00000000" w:csb0="00040001" w:csb1="00000000"/>
  </w:font>
  <w:font w:name="文星仿宋">
    <w:altName w:val="方正仿宋_GBK"/>
    <w:panose1 w:val="00000000000000000000"/>
    <w:charset w:val="00"/>
    <w:family w:val="auto"/>
    <w:pitch w:val="default"/>
    <w:sig w:usb0="00000000" w:usb1="00000000" w:usb2="00000000"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 w:name="方正黑体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 w:name="方正楷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300017"/>
    <w:multiLevelType w:val="singleLevel"/>
    <w:tmpl w:val="54300017"/>
    <w:lvl w:ilvl="0" w:tentative="0">
      <w:start w:val="4"/>
      <w:numFmt w:val="chineseCounting"/>
      <w:suff w:val="nothing"/>
      <w:lvlText w:val="（%1）"/>
      <w:lvlJc w:val="left"/>
      <w:rPr>
        <w:rFonts w:hint="eastAsia"/>
      </w:rPr>
    </w:lvl>
  </w:abstractNum>
  <w:abstractNum w:abstractNumId="1">
    <w:nsid w:val="71479142"/>
    <w:multiLevelType w:val="singleLevel"/>
    <w:tmpl w:val="71479142"/>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F21889"/>
    <w:rsid w:val="03AF9654"/>
    <w:rsid w:val="3EF86909"/>
    <w:rsid w:val="3FD76F90"/>
    <w:rsid w:val="4D65FE25"/>
    <w:rsid w:val="5578C78A"/>
    <w:rsid w:val="5BBBE2D1"/>
    <w:rsid w:val="5FE5DD87"/>
    <w:rsid w:val="5FF700AB"/>
    <w:rsid w:val="7073F190"/>
    <w:rsid w:val="71BDE4EA"/>
    <w:rsid w:val="737F1F4B"/>
    <w:rsid w:val="76EFCF9A"/>
    <w:rsid w:val="7E4FF42A"/>
    <w:rsid w:val="7EEF6836"/>
    <w:rsid w:val="7F765C11"/>
    <w:rsid w:val="AB7E1649"/>
    <w:rsid w:val="AFFFED1A"/>
    <w:rsid w:val="B7FD26F8"/>
    <w:rsid w:val="BC86AC6E"/>
    <w:rsid w:val="DDDDD75A"/>
    <w:rsid w:val="E67D3E4A"/>
    <w:rsid w:val="FFF21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99"/>
    <w:pPr>
      <w:spacing w:beforeAutospacing="1" w:afterAutospacing="1"/>
      <w:jc w:val="left"/>
    </w:pPr>
    <w:rPr>
      <w:rFonts w:cs="Times New Roman"/>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2855</Words>
  <Characters>3012</Characters>
  <Lines>0</Lines>
  <Paragraphs>0</Paragraphs>
  <TotalTime>1</TotalTime>
  <ScaleCrop>false</ScaleCrop>
  <LinksUpToDate>false</LinksUpToDate>
  <CharactersWithSpaces>3016</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2026-01-14T23:23:00Z</dcterms:created>
  <dc:creator>admin</dc:creator>
  <cp:lastModifiedBy>user</cp:lastModifiedBy>
  <dcterms:modified xsi:type="dcterms:W3CDTF">2026-01-29T09:31:10Z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C27E1D40B5B271A676A164693EC3E380_41</vt:lpwstr>
  </property>
</Properties>
</file>